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C55" w:rsidRPr="003A084C" w:rsidRDefault="005068A7" w:rsidP="005068A7">
      <w:pPr>
        <w:jc w:val="right"/>
        <w:rPr>
          <w:rFonts w:ascii="Times New Roman" w:hAnsi="Times New Roman" w:cs="Times New Roman"/>
          <w:sz w:val="24"/>
          <w:szCs w:val="24"/>
        </w:rPr>
      </w:pPr>
      <w:r w:rsidRPr="003A084C">
        <w:rPr>
          <w:rFonts w:ascii="Times New Roman" w:hAnsi="Times New Roman" w:cs="Times New Roman"/>
          <w:sz w:val="24"/>
          <w:szCs w:val="24"/>
        </w:rPr>
        <w:t>4.pielikums</w:t>
      </w:r>
    </w:p>
    <w:p w:rsidR="005068A7" w:rsidRPr="003A084C" w:rsidRDefault="005068A7">
      <w:pPr>
        <w:rPr>
          <w:rFonts w:cstheme="minorHAnsi"/>
          <w:b/>
          <w:color w:val="0070C0"/>
          <w:sz w:val="32"/>
          <w:szCs w:val="32"/>
        </w:rPr>
      </w:pPr>
      <w:r w:rsidRPr="003A084C">
        <w:rPr>
          <w:rFonts w:cstheme="minorHAnsi"/>
          <w:b/>
          <w:color w:val="0070C0"/>
          <w:sz w:val="32"/>
          <w:szCs w:val="32"/>
        </w:rPr>
        <w:t>Izņēmumu piemērošana papildu pasākumu ieviešanai un vides mērķu sasniegšanai</w:t>
      </w:r>
      <w:r w:rsidR="00AC47AD">
        <w:rPr>
          <w:rFonts w:cstheme="minorHAnsi"/>
          <w:b/>
          <w:color w:val="0070C0"/>
          <w:sz w:val="32"/>
          <w:szCs w:val="32"/>
        </w:rPr>
        <w:t xml:space="preserve"> </w:t>
      </w:r>
    </w:p>
    <w:p w:rsidR="00496DE4" w:rsidRDefault="00496DE4" w:rsidP="008D1E03">
      <w:pPr>
        <w:jc w:val="both"/>
      </w:pPr>
      <w:r w:rsidRPr="00AC47AD">
        <w:rPr>
          <w:b/>
        </w:rPr>
        <w:t>1.</w:t>
      </w:r>
      <w:r>
        <w:t xml:space="preserve"> </w:t>
      </w:r>
      <w:r w:rsidR="00054D56">
        <w:tab/>
      </w:r>
      <w:r w:rsidR="00AC47AD" w:rsidRPr="00A50206">
        <w:rPr>
          <w:rFonts w:ascii="Times New Roman" w:eastAsia="Times New Roman" w:hAnsi="Times New Roman" w:cs="Times New Roman"/>
          <w:sz w:val="24"/>
          <w:szCs w:val="24"/>
        </w:rPr>
        <w:t xml:space="preserve">Direktīvas </w:t>
      </w:r>
      <w:proofErr w:type="gramStart"/>
      <w:r w:rsidR="00AC47AD" w:rsidRPr="00AC47AD">
        <w:rPr>
          <w:rFonts w:ascii="Times New Roman" w:eastAsia="Times New Roman" w:hAnsi="Times New Roman" w:cs="Times New Roman"/>
          <w:sz w:val="24"/>
          <w:szCs w:val="24"/>
        </w:rPr>
        <w:t>14.panta</w:t>
      </w:r>
      <w:proofErr w:type="gramEnd"/>
      <w:r w:rsidR="00AC47AD" w:rsidRPr="00AC47AD">
        <w:rPr>
          <w:rFonts w:ascii="Times New Roman" w:eastAsia="Times New Roman" w:hAnsi="Times New Roman" w:cs="Times New Roman"/>
          <w:sz w:val="24"/>
          <w:szCs w:val="24"/>
        </w:rPr>
        <w:t xml:space="preserve"> 1.punkta „e” apakšpunkts</w:t>
      </w:r>
      <w:r w:rsidR="00AC47AD" w:rsidRPr="00A50206">
        <w:rPr>
          <w:rFonts w:ascii="Times New Roman" w:eastAsia="Times New Roman" w:hAnsi="Times New Roman" w:cs="Times New Roman"/>
          <w:sz w:val="24"/>
          <w:szCs w:val="24"/>
        </w:rPr>
        <w:t xml:space="preserve"> pieļauj gadījumu, kad dalībvalsts savos jūras ūdeņos nevar sasniegt labu jūras vides stāvokli, </w:t>
      </w:r>
      <w:r w:rsidR="00AC47AD" w:rsidRPr="00AC47AD">
        <w:rPr>
          <w:rFonts w:ascii="Times New Roman" w:eastAsia="Times New Roman" w:hAnsi="Times New Roman" w:cs="Times New Roman"/>
          <w:b/>
          <w:sz w:val="24"/>
          <w:szCs w:val="24"/>
        </w:rPr>
        <w:t>ja to kavē dabiskie apstākļi, kas neļauj savlaicīgi uzlabot attiecīgo jūras ūdeņu stāvokli</w:t>
      </w:r>
      <w:r w:rsidR="00AC47AD">
        <w:rPr>
          <w:rFonts w:ascii="Times New Roman" w:eastAsia="Times New Roman" w:hAnsi="Times New Roman" w:cs="Times New Roman"/>
          <w:sz w:val="24"/>
          <w:szCs w:val="24"/>
        </w:rPr>
        <w:t xml:space="preserve">. Arī aktualizētajā Programmā 2022.- </w:t>
      </w:r>
      <w:proofErr w:type="gramStart"/>
      <w:r w:rsidR="00AC47AD">
        <w:rPr>
          <w:rFonts w:ascii="Times New Roman" w:eastAsia="Times New Roman" w:hAnsi="Times New Roman" w:cs="Times New Roman"/>
          <w:sz w:val="24"/>
          <w:szCs w:val="24"/>
        </w:rPr>
        <w:t>2027.gadam</w:t>
      </w:r>
      <w:proofErr w:type="gramEnd"/>
      <w:r w:rsidR="00AC47AD">
        <w:rPr>
          <w:rFonts w:ascii="Times New Roman" w:eastAsia="Times New Roman" w:hAnsi="Times New Roman" w:cs="Times New Roman"/>
          <w:sz w:val="24"/>
          <w:szCs w:val="24"/>
        </w:rPr>
        <w:t xml:space="preserve"> </w:t>
      </w:r>
      <w:r w:rsidR="008D1845">
        <w:rPr>
          <w:rFonts w:ascii="Times New Roman" w:eastAsia="Times New Roman" w:hAnsi="Times New Roman" w:cs="Times New Roman"/>
          <w:sz w:val="24"/>
          <w:szCs w:val="24"/>
        </w:rPr>
        <w:t xml:space="preserve">Latvijas jūras ūdeņiem </w:t>
      </w:r>
      <w:r w:rsidR="00AC47AD">
        <w:rPr>
          <w:rFonts w:ascii="Times New Roman" w:eastAsia="Times New Roman" w:hAnsi="Times New Roman" w:cs="Times New Roman"/>
          <w:sz w:val="24"/>
          <w:szCs w:val="24"/>
        </w:rPr>
        <w:t>tiek piemērots izņēmums attiecībā uz D5 “Eitrofikācija”</w:t>
      </w:r>
      <w:r w:rsidR="00AC47AD" w:rsidRPr="00AC47AD">
        <w:rPr>
          <w:rFonts w:ascii="Times New Roman" w:eastAsia="Times New Roman" w:hAnsi="Times New Roman" w:cs="Times New Roman"/>
          <w:sz w:val="24"/>
          <w:szCs w:val="24"/>
        </w:rPr>
        <w:t xml:space="preserve"> atbilstoši Direktīvas 14.panta 1.punkta „e” apakšpunktam</w:t>
      </w:r>
      <w:r w:rsidR="00AC47AD">
        <w:rPr>
          <w:rFonts w:ascii="Times New Roman" w:eastAsia="Times New Roman" w:hAnsi="Times New Roman" w:cs="Times New Roman"/>
          <w:sz w:val="24"/>
          <w:szCs w:val="24"/>
        </w:rPr>
        <w:t>. I</w:t>
      </w:r>
      <w:r w:rsidR="00AC47AD" w:rsidRPr="00510CC0">
        <w:rPr>
          <w:rFonts w:ascii="Times New Roman" w:eastAsia="Times New Roman" w:hAnsi="Times New Roman" w:cs="Times New Roman"/>
          <w:sz w:val="24"/>
          <w:szCs w:val="24"/>
        </w:rPr>
        <w:t xml:space="preserve">zņēmuma piemērošanas </w:t>
      </w:r>
      <w:r w:rsidR="00AC47AD">
        <w:rPr>
          <w:rFonts w:ascii="Times New Roman" w:eastAsia="Times New Roman" w:hAnsi="Times New Roman" w:cs="Times New Roman"/>
          <w:sz w:val="24"/>
          <w:szCs w:val="24"/>
        </w:rPr>
        <w:t xml:space="preserve">izvērstu </w:t>
      </w:r>
      <w:r w:rsidR="00AC47AD" w:rsidRPr="00510CC0">
        <w:rPr>
          <w:rFonts w:ascii="Times New Roman" w:eastAsia="Times New Roman" w:hAnsi="Times New Roman" w:cs="Times New Roman"/>
          <w:sz w:val="24"/>
          <w:szCs w:val="24"/>
        </w:rPr>
        <w:t xml:space="preserve">pamatojumu skatīt </w:t>
      </w:r>
      <w:r w:rsidR="00AC47AD">
        <w:rPr>
          <w:rFonts w:ascii="Times New Roman" w:eastAsia="Times New Roman" w:hAnsi="Times New Roman" w:cs="Times New Roman"/>
          <w:sz w:val="24"/>
          <w:szCs w:val="24"/>
        </w:rPr>
        <w:t>Programmas 2016.-</w:t>
      </w:r>
      <w:r w:rsidR="00D212E9">
        <w:rPr>
          <w:rFonts w:ascii="Times New Roman" w:eastAsia="Times New Roman" w:hAnsi="Times New Roman" w:cs="Times New Roman"/>
          <w:sz w:val="24"/>
          <w:szCs w:val="24"/>
        </w:rPr>
        <w:t xml:space="preserve"> </w:t>
      </w:r>
      <w:bookmarkStart w:id="0" w:name="_GoBack"/>
      <w:bookmarkEnd w:id="0"/>
      <w:r w:rsidR="00AC47AD">
        <w:rPr>
          <w:rFonts w:ascii="Times New Roman" w:eastAsia="Times New Roman" w:hAnsi="Times New Roman" w:cs="Times New Roman"/>
          <w:sz w:val="24"/>
          <w:szCs w:val="24"/>
        </w:rPr>
        <w:t>2020.gadam 4</w:t>
      </w:r>
      <w:r w:rsidR="00AC47AD" w:rsidRPr="00510CC0">
        <w:rPr>
          <w:rFonts w:ascii="Times New Roman" w:eastAsia="Times New Roman" w:hAnsi="Times New Roman" w:cs="Times New Roman"/>
          <w:sz w:val="24"/>
          <w:szCs w:val="24"/>
        </w:rPr>
        <w:t>.pielikumā</w:t>
      </w:r>
      <w:r w:rsidR="00054D56">
        <w:rPr>
          <w:rStyle w:val="FootnoteReference"/>
          <w:rFonts w:ascii="Times New Roman" w:eastAsia="Times New Roman" w:hAnsi="Times New Roman" w:cs="Times New Roman"/>
          <w:sz w:val="24"/>
          <w:szCs w:val="24"/>
        </w:rPr>
        <w:footnoteReference w:id="1"/>
      </w:r>
      <w:r w:rsidR="00AC47AD">
        <w:rPr>
          <w:rFonts w:ascii="Times New Roman" w:eastAsia="Times New Roman" w:hAnsi="Times New Roman" w:cs="Times New Roman"/>
          <w:sz w:val="24"/>
          <w:szCs w:val="24"/>
        </w:rPr>
        <w:t>.</w:t>
      </w:r>
    </w:p>
    <w:p w:rsidR="005068A7" w:rsidRPr="00AC47AD" w:rsidRDefault="00496DE4" w:rsidP="008D1E03">
      <w:pPr>
        <w:jc w:val="both"/>
        <w:rPr>
          <w:rFonts w:ascii="Times New Roman" w:hAnsi="Times New Roman" w:cs="Times New Roman"/>
          <w:sz w:val="24"/>
          <w:szCs w:val="24"/>
        </w:rPr>
      </w:pPr>
      <w:r w:rsidRPr="00AC47AD">
        <w:rPr>
          <w:b/>
        </w:rPr>
        <w:t>2.</w:t>
      </w:r>
      <w:r>
        <w:t xml:space="preserve"> </w:t>
      </w:r>
      <w:r w:rsidR="00054D56">
        <w:tab/>
      </w:r>
      <w:r w:rsidR="003A084C" w:rsidRPr="00AC47AD">
        <w:rPr>
          <w:rFonts w:ascii="Times New Roman" w:hAnsi="Times New Roman" w:cs="Times New Roman"/>
          <w:sz w:val="24"/>
          <w:szCs w:val="24"/>
        </w:rPr>
        <w:t>Atbilstoši direktīvas 14.</w:t>
      </w:r>
      <w:r w:rsidR="00C21ACB" w:rsidRPr="00AC47AD">
        <w:rPr>
          <w:rFonts w:ascii="Times New Roman" w:hAnsi="Times New Roman" w:cs="Times New Roman"/>
          <w:sz w:val="24"/>
          <w:szCs w:val="24"/>
        </w:rPr>
        <w:t xml:space="preserve"> </w:t>
      </w:r>
      <w:r w:rsidR="003A084C" w:rsidRPr="00AC47AD">
        <w:rPr>
          <w:rFonts w:ascii="Times New Roman" w:hAnsi="Times New Roman" w:cs="Times New Roman"/>
          <w:sz w:val="24"/>
          <w:szCs w:val="24"/>
        </w:rPr>
        <w:t>panta 4.daļai</w:t>
      </w:r>
      <w:r w:rsidR="003A084C" w:rsidRPr="00AC47AD">
        <w:rPr>
          <w:rStyle w:val="FootnoteReference"/>
          <w:rFonts w:ascii="Times New Roman" w:hAnsi="Times New Roman" w:cs="Times New Roman"/>
          <w:sz w:val="24"/>
          <w:szCs w:val="24"/>
        </w:rPr>
        <w:footnoteReference w:id="2"/>
      </w:r>
      <w:r w:rsidR="003A084C" w:rsidRPr="00AC47AD">
        <w:rPr>
          <w:rFonts w:ascii="Times New Roman" w:hAnsi="Times New Roman" w:cs="Times New Roman"/>
          <w:sz w:val="24"/>
          <w:szCs w:val="24"/>
        </w:rPr>
        <w:t xml:space="preserve"> t</w:t>
      </w:r>
      <w:r w:rsidR="005068A7" w:rsidRPr="00AC47AD">
        <w:rPr>
          <w:rFonts w:ascii="Times New Roman" w:hAnsi="Times New Roman" w:cs="Times New Roman"/>
          <w:sz w:val="24"/>
          <w:szCs w:val="24"/>
        </w:rPr>
        <w:t xml:space="preserve">ika </w:t>
      </w:r>
      <w:r w:rsidR="005068A7" w:rsidRPr="00054D56">
        <w:rPr>
          <w:rFonts w:ascii="Times New Roman" w:hAnsi="Times New Roman" w:cs="Times New Roman"/>
          <w:sz w:val="24"/>
          <w:szCs w:val="24"/>
        </w:rPr>
        <w:t>i</w:t>
      </w:r>
      <w:r w:rsidR="005068A7" w:rsidRPr="00AC47AD">
        <w:rPr>
          <w:rFonts w:ascii="Times New Roman" w:hAnsi="Times New Roman" w:cs="Times New Roman"/>
          <w:sz w:val="24"/>
          <w:szCs w:val="24"/>
        </w:rPr>
        <w:t xml:space="preserve">zvērtēta nepieciešamība un pamatojums iespējai piemērot izņēmumus papildu pasākumu neieviešanai </w:t>
      </w:r>
      <w:r w:rsidR="005068A7" w:rsidRPr="00AC47AD">
        <w:rPr>
          <w:rFonts w:ascii="Times New Roman" w:hAnsi="Times New Roman" w:cs="Times New Roman"/>
          <w:b/>
          <w:sz w:val="24"/>
          <w:szCs w:val="24"/>
        </w:rPr>
        <w:t>“nesamērīg</w:t>
      </w:r>
      <w:r w:rsidR="003A084C" w:rsidRPr="00AC47AD">
        <w:rPr>
          <w:rFonts w:ascii="Times New Roman" w:hAnsi="Times New Roman" w:cs="Times New Roman"/>
          <w:b/>
          <w:sz w:val="24"/>
          <w:szCs w:val="24"/>
        </w:rPr>
        <w:t>u</w:t>
      </w:r>
      <w:r w:rsidR="005068A7" w:rsidRPr="00AC47AD">
        <w:rPr>
          <w:rFonts w:ascii="Times New Roman" w:hAnsi="Times New Roman" w:cs="Times New Roman"/>
          <w:b/>
          <w:sz w:val="24"/>
          <w:szCs w:val="24"/>
        </w:rPr>
        <w:t xml:space="preserve"> izmaks</w:t>
      </w:r>
      <w:r w:rsidR="003A084C" w:rsidRPr="00AC47AD">
        <w:rPr>
          <w:rFonts w:ascii="Times New Roman" w:hAnsi="Times New Roman" w:cs="Times New Roman"/>
          <w:b/>
          <w:sz w:val="24"/>
          <w:szCs w:val="24"/>
        </w:rPr>
        <w:t>u</w:t>
      </w:r>
      <w:r w:rsidR="005068A7" w:rsidRPr="00AC47AD">
        <w:rPr>
          <w:rFonts w:ascii="Times New Roman" w:hAnsi="Times New Roman" w:cs="Times New Roman"/>
          <w:b/>
          <w:sz w:val="24"/>
          <w:szCs w:val="24"/>
        </w:rPr>
        <w:t>”</w:t>
      </w:r>
      <w:r w:rsidR="003A084C" w:rsidRPr="00AC47AD">
        <w:rPr>
          <w:rFonts w:ascii="Times New Roman" w:hAnsi="Times New Roman" w:cs="Times New Roman"/>
          <w:b/>
          <w:sz w:val="24"/>
          <w:szCs w:val="24"/>
        </w:rPr>
        <w:t xml:space="preserve"> dēļ</w:t>
      </w:r>
      <w:r w:rsidR="005068A7" w:rsidRPr="00AC47AD">
        <w:rPr>
          <w:rFonts w:ascii="Times New Roman" w:hAnsi="Times New Roman" w:cs="Times New Roman"/>
          <w:sz w:val="24"/>
          <w:szCs w:val="24"/>
        </w:rPr>
        <w:t xml:space="preserve">. Direktīva pieļauj šādus izņēmumus, ja nav apdraudējuma jūras videi, vai ja izmaksas no papildu pasākumu ieviešanas būtu nesamērīgas salīdzinājumā ar apdraudējumu jūras videi, vienlaikus nodrošinot, ka šāds izņēmums nerada apdraudējumu LJVS sasniegšanai. Nacionālā pieeja šādu iespējamo izņēmumu izvērtēšanai tika izstrādāta, ņemot vērā ES vadlīnijas un praksi citās dalībvalstīs. </w:t>
      </w:r>
      <w:proofErr w:type="spellStart"/>
      <w:r w:rsidR="003A084C" w:rsidRPr="00AC47AD">
        <w:rPr>
          <w:rFonts w:ascii="Times New Roman" w:hAnsi="Times New Roman" w:cs="Times New Roman"/>
          <w:sz w:val="24"/>
          <w:szCs w:val="24"/>
        </w:rPr>
        <w:t>I</w:t>
      </w:r>
      <w:r w:rsidR="005068A7" w:rsidRPr="00AC47AD">
        <w:rPr>
          <w:rFonts w:ascii="Times New Roman" w:hAnsi="Times New Roman" w:cs="Times New Roman"/>
          <w:sz w:val="24"/>
          <w:szCs w:val="24"/>
        </w:rPr>
        <w:t>zvērtējum</w:t>
      </w:r>
      <w:r w:rsidR="00C21ACB" w:rsidRPr="00AC47AD">
        <w:rPr>
          <w:rFonts w:ascii="Times New Roman" w:hAnsi="Times New Roman" w:cs="Times New Roman"/>
          <w:sz w:val="24"/>
          <w:szCs w:val="24"/>
        </w:rPr>
        <w:t>ā</w:t>
      </w:r>
      <w:proofErr w:type="spellEnd"/>
      <w:r w:rsidR="005068A7" w:rsidRPr="00AC47AD">
        <w:rPr>
          <w:rFonts w:ascii="Times New Roman" w:hAnsi="Times New Roman" w:cs="Times New Roman"/>
          <w:sz w:val="24"/>
          <w:szCs w:val="24"/>
        </w:rPr>
        <w:t xml:space="preserve"> secināts, ka nav pamata šādu izņēmumu piemērošanai.</w:t>
      </w:r>
    </w:p>
    <w:p w:rsidR="005068A7" w:rsidRPr="00AC47AD" w:rsidRDefault="005068A7" w:rsidP="008D1845">
      <w:pPr>
        <w:pStyle w:val="Default"/>
        <w:tabs>
          <w:tab w:val="left" w:pos="4536"/>
        </w:tabs>
        <w:jc w:val="both"/>
        <w:rPr>
          <w:rFonts w:ascii="Times New Roman" w:hAnsi="Times New Roman" w:cs="Times New Roman"/>
        </w:rPr>
      </w:pPr>
      <w:r w:rsidRPr="00AC47AD">
        <w:rPr>
          <w:rFonts w:ascii="Times New Roman" w:hAnsi="Times New Roman" w:cs="Times New Roman"/>
        </w:rPr>
        <w:t>Apdraudējums jūras videi ir vērtēts, balstoties uz novērtējumu esošā stāvokļa atbilstībai LJVS. Kvalitatīvajiem raksturlielumiem, kuriem novērtēta atbilstība LJVS, papildu pasākumi slodžu samazināšanai nav nepieciešami. Raksturlielumiem, kuriem stāvokļa atbilstību LJVS šobrīd nav iespējams novērtēt, nepieciešamas rīcības informācijas bāzes uzlabošanai (izstrādāt indikatorus un robežvērtības, veikt stāvokļa atbilstības novērtēšanu). Arī šādiem raksturlielumiem izņēmums nav piemērots. Kvalitatīvajiem raksturlielumiem, kuriem esošais stāvoklis novērtēts kā neatbilstošs LJVS, tika novērtētas papildu pasākumu izmaksas un ieguvumi. Izmaksu “samērīgums” ir vērtēts, balstoties uz pasākumu izmaksu un ieguvumu salīdzinājumu. Tajā secināts, ka ieguvumi pārsniedz izmaksas, tādēļ tās būtu vērtējamas kā samērīgas</w:t>
      </w:r>
      <w:r w:rsidR="008D1845">
        <w:rPr>
          <w:rFonts w:ascii="Times New Roman" w:hAnsi="Times New Roman" w:cs="Times New Roman"/>
        </w:rPr>
        <w:t xml:space="preserve"> izmaksas</w:t>
      </w:r>
      <w:r w:rsidRPr="00AC47AD">
        <w:rPr>
          <w:rFonts w:ascii="Times New Roman" w:hAnsi="Times New Roman" w:cs="Times New Roman"/>
        </w:rPr>
        <w:t xml:space="preserve">. Jāņem vērā, ka kvantitatīvajos novērtējumos nav ietvertas visas izmaksas un ieguvumi. Nenoteiktību rada arī izmaksu-ieguvumu analīzei izmantotie pieņēmumi. Novērtējumam kopumā izmantota piesardzīga pieeja. Uzlabojot informācijas bāzi par izmaksām un ieguvumiem, novērtējumu būtu nepieciešams pārskatīt. </w:t>
      </w:r>
    </w:p>
    <w:p w:rsidR="005068A7" w:rsidRPr="00AC47AD" w:rsidRDefault="005068A7" w:rsidP="008D1E03">
      <w:pPr>
        <w:jc w:val="both"/>
        <w:rPr>
          <w:rFonts w:ascii="Times New Roman" w:hAnsi="Times New Roman" w:cs="Times New Roman"/>
          <w:sz w:val="24"/>
          <w:szCs w:val="24"/>
        </w:rPr>
      </w:pPr>
      <w:r w:rsidRPr="00AC47AD">
        <w:rPr>
          <w:rFonts w:ascii="Times New Roman" w:hAnsi="Times New Roman" w:cs="Times New Roman"/>
          <w:sz w:val="24"/>
          <w:szCs w:val="24"/>
        </w:rPr>
        <w:t xml:space="preserve">Jāatzīmē, ka visiem papildu pasākumiem to izstrādes ietvaros tika veikts sociālekonomisko ietekmju novērtējums. Balstoties uz šo novērtējumu, daži pasākumi netika iekļauti papildu pasākumu priekšlikumos. Savukārt iekļautie papildu pasākumi, kas ietver </w:t>
      </w:r>
      <w:proofErr w:type="spellStart"/>
      <w:r w:rsidRPr="00AC47AD">
        <w:rPr>
          <w:rFonts w:ascii="Times New Roman" w:hAnsi="Times New Roman" w:cs="Times New Roman"/>
          <w:sz w:val="24"/>
          <w:szCs w:val="24"/>
        </w:rPr>
        <w:t>izvērtējumus</w:t>
      </w:r>
      <w:proofErr w:type="spellEnd"/>
      <w:r w:rsidRPr="00AC47AD">
        <w:rPr>
          <w:rFonts w:ascii="Times New Roman" w:hAnsi="Times New Roman" w:cs="Times New Roman"/>
          <w:sz w:val="24"/>
          <w:szCs w:val="24"/>
        </w:rPr>
        <w:t xml:space="preserve"> un iespējamu jaunu pasākumu noteikšanu ekonomikas nozarēm, paredz sociālekonomisko ietekmju novērtēšanu pirms šādu jaunu pasākumu noteikšanas.</w:t>
      </w:r>
    </w:p>
    <w:p w:rsidR="005068A7" w:rsidRPr="005068A7" w:rsidRDefault="005068A7" w:rsidP="005068A7">
      <w:pPr>
        <w:rPr>
          <w:color w:val="2D74B5"/>
          <w:sz w:val="26"/>
          <w:szCs w:val="26"/>
        </w:rPr>
      </w:pPr>
      <w:proofErr w:type="spellStart"/>
      <w:r w:rsidRPr="005068A7">
        <w:rPr>
          <w:color w:val="2D74B5"/>
          <w:sz w:val="26"/>
          <w:szCs w:val="26"/>
        </w:rPr>
        <w:t>Izvērtējumā</w:t>
      </w:r>
      <w:proofErr w:type="spellEnd"/>
      <w:r w:rsidRPr="005068A7">
        <w:rPr>
          <w:color w:val="2D74B5"/>
          <w:sz w:val="26"/>
          <w:szCs w:val="26"/>
        </w:rPr>
        <w:t xml:space="preserve"> ietvertie papildu pasākumi un to izmaksu novērtējums</w:t>
      </w:r>
    </w:p>
    <w:p w:rsidR="005068A7" w:rsidRPr="00AC47AD" w:rsidRDefault="005068A7" w:rsidP="005068A7">
      <w:pPr>
        <w:jc w:val="both"/>
        <w:rPr>
          <w:rFonts w:ascii="Times New Roman" w:hAnsi="Times New Roman" w:cs="Times New Roman"/>
          <w:sz w:val="24"/>
          <w:szCs w:val="24"/>
        </w:rPr>
      </w:pPr>
      <w:r w:rsidRPr="00AC47AD">
        <w:rPr>
          <w:rFonts w:ascii="Times New Roman" w:hAnsi="Times New Roman" w:cs="Times New Roman"/>
          <w:sz w:val="24"/>
          <w:szCs w:val="24"/>
        </w:rPr>
        <w:t>Analīzē ietvertie papildu pasākumi ir sniegti P</w:t>
      </w:r>
      <w:r w:rsidR="00496DE4" w:rsidRPr="00AC47AD">
        <w:rPr>
          <w:rFonts w:ascii="Times New Roman" w:hAnsi="Times New Roman" w:cs="Times New Roman"/>
          <w:sz w:val="24"/>
          <w:szCs w:val="24"/>
        </w:rPr>
        <w:t>4</w:t>
      </w:r>
      <w:r w:rsidRPr="00AC47AD">
        <w:rPr>
          <w:rFonts w:ascii="Times New Roman" w:hAnsi="Times New Roman" w:cs="Times New Roman"/>
          <w:sz w:val="24"/>
          <w:szCs w:val="24"/>
        </w:rPr>
        <w:t xml:space="preserve">.1.tabulā. Balstoties uz informāciju no literatūras un piemēriem no prakses, ekspert-vērtējumu un pieņēmumiem, tika </w:t>
      </w:r>
      <w:r w:rsidRPr="00AC47AD">
        <w:rPr>
          <w:rFonts w:ascii="Times New Roman" w:hAnsi="Times New Roman" w:cs="Times New Roman"/>
          <w:sz w:val="24"/>
          <w:szCs w:val="24"/>
        </w:rPr>
        <w:lastRenderedPageBreak/>
        <w:t>izstrādāti kvantitatīvi novērtējumi pasākumu tiešajām finansiālajām izmaksām. Daļai pasākumu šie novērtējumi ietver intervālu, ņemot vērā nenoteiktību. Izmaksas ir aprēķinātas kā kopējās izmaksas plānošanas periodam (6 gadiem) un kā vidējās izmaksas gadā. Daļa pasākumu varētu radīt tiešās un netiešās izmaksas nozarēm (zaudētos ienākumus, pieaugumu regulārās darbības izmaksās), ko nevarēja kvantificēt, jo šobrīd nav zināmi iespējamie pasākumi, kas varētu tikt noteikti.</w:t>
      </w:r>
    </w:p>
    <w:p w:rsidR="005068A7" w:rsidRDefault="005068A7" w:rsidP="005068A7">
      <w:pPr>
        <w:rPr>
          <w:iCs/>
          <w:sz w:val="20"/>
          <w:szCs w:val="20"/>
        </w:rPr>
      </w:pPr>
      <w:r>
        <w:rPr>
          <w:b/>
          <w:bCs/>
          <w:i/>
          <w:iCs/>
          <w:sz w:val="20"/>
          <w:szCs w:val="20"/>
        </w:rPr>
        <w:t>P</w:t>
      </w:r>
      <w:r w:rsidR="008D1E03">
        <w:rPr>
          <w:b/>
          <w:bCs/>
          <w:i/>
          <w:iCs/>
          <w:sz w:val="20"/>
          <w:szCs w:val="20"/>
        </w:rPr>
        <w:t>4</w:t>
      </w:r>
      <w:r>
        <w:rPr>
          <w:b/>
          <w:bCs/>
          <w:i/>
          <w:iCs/>
          <w:sz w:val="20"/>
          <w:szCs w:val="20"/>
        </w:rPr>
        <w:t xml:space="preserve">.1.tabula. Novērtējums papildu pasākumu izmaksām plānošanas </w:t>
      </w:r>
      <w:r w:rsidR="00AC47AD">
        <w:rPr>
          <w:b/>
          <w:bCs/>
          <w:i/>
          <w:iCs/>
          <w:sz w:val="20"/>
          <w:szCs w:val="20"/>
        </w:rPr>
        <w:t>periodam</w:t>
      </w:r>
      <w:r>
        <w:rPr>
          <w:i/>
          <w:iCs/>
          <w:sz w:val="20"/>
          <w:szCs w:val="20"/>
        </w:rPr>
        <w:t xml:space="preserv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510"/>
        <w:gridCol w:w="993"/>
        <w:gridCol w:w="992"/>
        <w:gridCol w:w="4021"/>
      </w:tblGrid>
      <w:tr w:rsidR="00992566" w:rsidRPr="0025178E" w:rsidTr="00A50041">
        <w:trPr>
          <w:trHeight w:val="720"/>
          <w:jc w:val="center"/>
        </w:trPr>
        <w:tc>
          <w:tcPr>
            <w:tcW w:w="3690" w:type="dxa"/>
            <w:vMerge w:val="restart"/>
            <w:shd w:val="clear" w:color="000000" w:fill="D9D9D9"/>
            <w:hideMark/>
          </w:tcPr>
          <w:p w:rsidR="00992566" w:rsidRPr="0025178E" w:rsidRDefault="00992566" w:rsidP="00A50041">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Papildu pasākumi</w:t>
            </w:r>
          </w:p>
        </w:tc>
        <w:tc>
          <w:tcPr>
            <w:tcW w:w="510" w:type="dxa"/>
            <w:vMerge w:val="restart"/>
            <w:shd w:val="clear" w:color="000000" w:fill="D9D9D9"/>
          </w:tcPr>
          <w:p w:rsidR="00992566" w:rsidRPr="0025178E" w:rsidRDefault="00992566" w:rsidP="00A50041">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D</w:t>
            </w:r>
          </w:p>
        </w:tc>
        <w:tc>
          <w:tcPr>
            <w:tcW w:w="1985" w:type="dxa"/>
            <w:gridSpan w:val="2"/>
            <w:shd w:val="clear" w:color="000000" w:fill="D9D9D9"/>
            <w:hideMark/>
          </w:tcPr>
          <w:p w:rsidR="00992566" w:rsidRPr="0025178E" w:rsidRDefault="00992566" w:rsidP="00A50041">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Pasākumu tiešās finansiālās izmaksas plānošanas ciklam (EUR)</w:t>
            </w:r>
          </w:p>
        </w:tc>
        <w:tc>
          <w:tcPr>
            <w:tcW w:w="4021" w:type="dxa"/>
            <w:vMerge w:val="restart"/>
            <w:shd w:val="clear" w:color="000000" w:fill="D9D9D9"/>
            <w:hideMark/>
          </w:tcPr>
          <w:p w:rsidR="00992566" w:rsidRPr="0025178E" w:rsidRDefault="00992566" w:rsidP="00A50041">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Citas izmaksas (zaudētie ienākumi, pieaugums regulārās darbības izmaksās) un negatīvās ietekmes. Piezīmes saistībā ar novērtējumu, t.sk. nenoteiktību.</w:t>
            </w:r>
          </w:p>
        </w:tc>
      </w:tr>
      <w:tr w:rsidR="00992566" w:rsidRPr="0025178E" w:rsidTr="00A50041">
        <w:trPr>
          <w:trHeight w:val="240"/>
          <w:jc w:val="center"/>
        </w:trPr>
        <w:tc>
          <w:tcPr>
            <w:tcW w:w="3690" w:type="dxa"/>
            <w:vMerge/>
            <w:vAlign w:val="center"/>
            <w:hideMark/>
          </w:tcPr>
          <w:p w:rsidR="00992566" w:rsidRPr="0025178E" w:rsidRDefault="00992566" w:rsidP="00A50041">
            <w:pPr>
              <w:spacing w:after="0" w:line="240" w:lineRule="auto"/>
              <w:rPr>
                <w:rFonts w:eastAsia="Times New Roman" w:cs="Calibri"/>
                <w:b/>
                <w:bCs/>
                <w:color w:val="000000"/>
                <w:sz w:val="18"/>
                <w:szCs w:val="18"/>
                <w:lang w:eastAsia="lv-LV"/>
              </w:rPr>
            </w:pPr>
          </w:p>
        </w:tc>
        <w:tc>
          <w:tcPr>
            <w:tcW w:w="510" w:type="dxa"/>
            <w:vMerge/>
            <w:shd w:val="clear" w:color="000000" w:fill="D9D9D9"/>
          </w:tcPr>
          <w:p w:rsidR="00992566" w:rsidRPr="0025178E" w:rsidRDefault="00992566" w:rsidP="00A50041">
            <w:pPr>
              <w:spacing w:after="0" w:line="240" w:lineRule="auto"/>
              <w:jc w:val="center"/>
              <w:rPr>
                <w:rFonts w:eastAsia="Times New Roman" w:cs="Calibri"/>
                <w:b/>
                <w:bCs/>
                <w:color w:val="000000"/>
                <w:sz w:val="18"/>
                <w:szCs w:val="18"/>
                <w:lang w:eastAsia="lv-LV"/>
              </w:rPr>
            </w:pPr>
          </w:p>
        </w:tc>
        <w:tc>
          <w:tcPr>
            <w:tcW w:w="993" w:type="dxa"/>
            <w:shd w:val="clear" w:color="000000" w:fill="D9D9D9"/>
            <w:hideMark/>
          </w:tcPr>
          <w:p w:rsidR="00992566" w:rsidRPr="0025178E" w:rsidRDefault="00992566" w:rsidP="00A50041">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no</w:t>
            </w:r>
          </w:p>
        </w:tc>
        <w:tc>
          <w:tcPr>
            <w:tcW w:w="992" w:type="dxa"/>
            <w:shd w:val="clear" w:color="000000" w:fill="D9D9D9"/>
            <w:hideMark/>
          </w:tcPr>
          <w:p w:rsidR="00992566" w:rsidRPr="0025178E" w:rsidRDefault="00992566" w:rsidP="00A50041">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līdz</w:t>
            </w:r>
          </w:p>
        </w:tc>
        <w:tc>
          <w:tcPr>
            <w:tcW w:w="4021" w:type="dxa"/>
            <w:vMerge/>
            <w:vAlign w:val="center"/>
            <w:hideMark/>
          </w:tcPr>
          <w:p w:rsidR="00992566" w:rsidRPr="0025178E" w:rsidRDefault="00992566" w:rsidP="00A50041">
            <w:pPr>
              <w:spacing w:after="0" w:line="240" w:lineRule="auto"/>
              <w:rPr>
                <w:rFonts w:eastAsia="Times New Roman" w:cs="Calibri"/>
                <w:b/>
                <w:bCs/>
                <w:color w:val="000000"/>
                <w:sz w:val="18"/>
                <w:szCs w:val="18"/>
                <w:lang w:eastAsia="lv-LV"/>
              </w:rPr>
            </w:pPr>
          </w:p>
        </w:tc>
      </w:tr>
      <w:tr w:rsidR="00992566" w:rsidRPr="0025178E" w:rsidTr="00A50041">
        <w:trPr>
          <w:trHeight w:val="480"/>
          <w:jc w:val="center"/>
        </w:trPr>
        <w:tc>
          <w:tcPr>
            <w:tcW w:w="3690" w:type="dxa"/>
            <w:shd w:val="clear" w:color="auto" w:fill="auto"/>
            <w:hideMark/>
          </w:tcPr>
          <w:p w:rsidR="00992566" w:rsidRPr="0025178E" w:rsidRDefault="00992566" w:rsidP="00A50041">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JVM1 PP1</w:t>
            </w:r>
            <w:r w:rsidRPr="0025178E">
              <w:rPr>
                <w:rFonts w:eastAsia="Times New Roman" w:cs="Calibri"/>
                <w:color w:val="000000"/>
                <w:sz w:val="18"/>
                <w:szCs w:val="18"/>
                <w:lang w:eastAsia="lv-LV"/>
              </w:rPr>
              <w:t xml:space="preserve"> Nacionālais jūras biotopu atjaunošanas plāns</w:t>
            </w:r>
          </w:p>
        </w:tc>
        <w:tc>
          <w:tcPr>
            <w:tcW w:w="510" w:type="dxa"/>
          </w:tcPr>
          <w:p w:rsidR="00992566" w:rsidRPr="0025178E" w:rsidRDefault="00992566" w:rsidP="00A50041">
            <w:pPr>
              <w:spacing w:after="0" w:line="240" w:lineRule="auto"/>
              <w:jc w:val="center"/>
              <w:rPr>
                <w:rFonts w:eastAsia="Times New Roman" w:cstheme="minorHAnsi"/>
                <w:color w:val="000000"/>
                <w:sz w:val="18"/>
                <w:szCs w:val="18"/>
                <w:lang w:eastAsia="lv-LV"/>
              </w:rPr>
            </w:pPr>
            <w:r w:rsidRPr="0025178E">
              <w:rPr>
                <w:rFonts w:eastAsia="Times New Roman" w:cstheme="minorHAnsi"/>
                <w:color w:val="000000"/>
                <w:sz w:val="18"/>
                <w:szCs w:val="18"/>
                <w:lang w:eastAsia="lv-LV"/>
              </w:rPr>
              <w:t>D1</w:t>
            </w:r>
          </w:p>
        </w:tc>
        <w:tc>
          <w:tcPr>
            <w:tcW w:w="1985" w:type="dxa"/>
            <w:gridSpan w:val="2"/>
            <w:shd w:val="clear" w:color="auto" w:fill="auto"/>
            <w:hideMark/>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theme="minorHAnsi"/>
                <w:color w:val="000000"/>
                <w:sz w:val="18"/>
                <w:szCs w:val="18"/>
                <w:lang w:eastAsia="lv-LV"/>
              </w:rPr>
              <w:t>150 000</w:t>
            </w:r>
          </w:p>
        </w:tc>
        <w:tc>
          <w:tcPr>
            <w:tcW w:w="4021" w:type="dxa"/>
            <w:shd w:val="clear" w:color="auto" w:fill="auto"/>
            <w:hideMark/>
          </w:tcPr>
          <w:p w:rsidR="00992566" w:rsidRPr="0025178E" w:rsidRDefault="00992566" w:rsidP="00A50041">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 Pasākums iespējams īstermiņā varētu radīt zaudētos ienākumus un/vai pieaugumu regulārās darbības izmaksās zvejniecībai (nav kvantificētas).</w:t>
            </w:r>
          </w:p>
        </w:tc>
      </w:tr>
      <w:tr w:rsidR="00992566" w:rsidRPr="0025178E" w:rsidTr="00A50041">
        <w:trPr>
          <w:trHeight w:val="480"/>
          <w:jc w:val="center"/>
        </w:trPr>
        <w:tc>
          <w:tcPr>
            <w:tcW w:w="3690" w:type="dxa"/>
            <w:shd w:val="clear" w:color="auto" w:fill="auto"/>
            <w:hideMark/>
          </w:tcPr>
          <w:p w:rsidR="00992566" w:rsidRPr="0025178E" w:rsidRDefault="00992566" w:rsidP="00A50041">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JVM1 PP2</w:t>
            </w:r>
            <w:r w:rsidRPr="0025178E">
              <w:rPr>
                <w:rFonts w:eastAsia="Times New Roman" w:cs="Calibri"/>
                <w:color w:val="000000"/>
                <w:sz w:val="18"/>
                <w:szCs w:val="18"/>
                <w:lang w:eastAsia="lv-LV"/>
              </w:rPr>
              <w:t xml:space="preserve"> Izstrādāt AJT DAP kvantitatīvus mērķus un efektīvus pasākumus</w:t>
            </w:r>
          </w:p>
        </w:tc>
        <w:tc>
          <w:tcPr>
            <w:tcW w:w="510" w:type="dxa"/>
          </w:tcPr>
          <w:p w:rsidR="00992566" w:rsidRPr="0025178E" w:rsidRDefault="00992566" w:rsidP="00A50041">
            <w:pPr>
              <w:spacing w:after="0" w:line="240" w:lineRule="auto"/>
              <w:jc w:val="center"/>
              <w:rPr>
                <w:rFonts w:eastAsia="Times New Roman" w:cstheme="minorHAnsi"/>
                <w:color w:val="000000"/>
                <w:sz w:val="18"/>
                <w:szCs w:val="18"/>
                <w:lang w:eastAsia="lv-LV"/>
              </w:rPr>
            </w:pPr>
            <w:r w:rsidRPr="0025178E">
              <w:rPr>
                <w:rFonts w:eastAsia="Times New Roman" w:cstheme="minorHAnsi"/>
                <w:color w:val="000000"/>
                <w:sz w:val="18"/>
                <w:szCs w:val="18"/>
                <w:lang w:eastAsia="lv-LV"/>
              </w:rPr>
              <w:t>D1</w:t>
            </w:r>
          </w:p>
        </w:tc>
        <w:tc>
          <w:tcPr>
            <w:tcW w:w="993" w:type="dxa"/>
            <w:shd w:val="clear" w:color="auto" w:fill="auto"/>
            <w:hideMark/>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theme="minorHAnsi"/>
                <w:color w:val="000000"/>
                <w:sz w:val="18"/>
                <w:szCs w:val="18"/>
                <w:lang w:eastAsia="lv-LV"/>
              </w:rPr>
              <w:t>30 000</w:t>
            </w:r>
          </w:p>
        </w:tc>
        <w:tc>
          <w:tcPr>
            <w:tcW w:w="992" w:type="dxa"/>
            <w:shd w:val="clear" w:color="auto" w:fill="auto"/>
            <w:noWrap/>
            <w:hideMark/>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50 000</w:t>
            </w:r>
          </w:p>
        </w:tc>
        <w:tc>
          <w:tcPr>
            <w:tcW w:w="4021" w:type="dxa"/>
            <w:shd w:val="clear" w:color="auto" w:fill="auto"/>
            <w:hideMark/>
          </w:tcPr>
          <w:p w:rsidR="00992566" w:rsidRPr="0025178E" w:rsidRDefault="00992566" w:rsidP="00A50041">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992566" w:rsidRPr="0025178E" w:rsidTr="00A50041">
        <w:trPr>
          <w:trHeight w:val="480"/>
          <w:jc w:val="center"/>
        </w:trPr>
        <w:tc>
          <w:tcPr>
            <w:tcW w:w="3690" w:type="dxa"/>
            <w:shd w:val="clear" w:color="auto" w:fill="auto"/>
            <w:hideMark/>
          </w:tcPr>
          <w:p w:rsidR="00992566" w:rsidRPr="0025178E" w:rsidRDefault="00992566" w:rsidP="00A50041">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JVM1 PP3</w:t>
            </w:r>
            <w:r w:rsidRPr="0025178E">
              <w:rPr>
                <w:rFonts w:eastAsia="Times New Roman" w:cs="Calibri"/>
                <w:color w:val="000000"/>
                <w:sz w:val="18"/>
                <w:szCs w:val="18"/>
                <w:lang w:eastAsia="lv-LV"/>
              </w:rPr>
              <w:t xml:space="preserve"> Nacionālā metodoloģija AJT tīkla efektivitātes novērtēšanai</w:t>
            </w:r>
          </w:p>
        </w:tc>
        <w:tc>
          <w:tcPr>
            <w:tcW w:w="510" w:type="dxa"/>
          </w:tcPr>
          <w:p w:rsidR="00992566" w:rsidRPr="0025178E" w:rsidRDefault="00992566" w:rsidP="00A50041">
            <w:pPr>
              <w:spacing w:after="0" w:line="240" w:lineRule="auto"/>
              <w:jc w:val="center"/>
              <w:rPr>
                <w:rFonts w:eastAsia="Times New Roman" w:cstheme="minorHAnsi"/>
                <w:color w:val="000000"/>
                <w:sz w:val="18"/>
                <w:szCs w:val="18"/>
                <w:lang w:eastAsia="lv-LV"/>
              </w:rPr>
            </w:pPr>
            <w:r w:rsidRPr="0025178E">
              <w:rPr>
                <w:rFonts w:eastAsia="Times New Roman" w:cstheme="minorHAnsi"/>
                <w:color w:val="000000"/>
                <w:sz w:val="18"/>
                <w:szCs w:val="18"/>
                <w:lang w:eastAsia="lv-LV"/>
              </w:rPr>
              <w:t>D1</w:t>
            </w:r>
          </w:p>
        </w:tc>
        <w:tc>
          <w:tcPr>
            <w:tcW w:w="1985" w:type="dxa"/>
            <w:gridSpan w:val="2"/>
            <w:shd w:val="clear" w:color="auto" w:fill="auto"/>
            <w:hideMark/>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theme="minorHAnsi"/>
                <w:color w:val="000000"/>
                <w:sz w:val="18"/>
                <w:szCs w:val="18"/>
                <w:lang w:eastAsia="lv-LV"/>
              </w:rPr>
              <w:t>10 000</w:t>
            </w:r>
          </w:p>
        </w:tc>
        <w:tc>
          <w:tcPr>
            <w:tcW w:w="4021" w:type="dxa"/>
            <w:shd w:val="clear" w:color="auto" w:fill="auto"/>
            <w:hideMark/>
          </w:tcPr>
          <w:p w:rsidR="00992566" w:rsidRPr="0025178E" w:rsidRDefault="00992566" w:rsidP="00A50041">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992566" w:rsidRPr="0025178E" w:rsidTr="00A50041">
        <w:trPr>
          <w:trHeight w:val="720"/>
          <w:jc w:val="center"/>
        </w:trPr>
        <w:tc>
          <w:tcPr>
            <w:tcW w:w="3690" w:type="dxa"/>
            <w:shd w:val="clear" w:color="auto" w:fill="auto"/>
            <w:hideMark/>
          </w:tcPr>
          <w:p w:rsidR="00992566" w:rsidRPr="0025178E" w:rsidRDefault="00992566" w:rsidP="00A50041">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JVM1 PP4</w:t>
            </w:r>
            <w:r w:rsidRPr="0025178E">
              <w:rPr>
                <w:rFonts w:eastAsia="Times New Roman" w:cs="Calibri"/>
                <w:color w:val="000000"/>
                <w:sz w:val="18"/>
                <w:szCs w:val="18"/>
                <w:lang w:eastAsia="lv-LV"/>
              </w:rPr>
              <w:t xml:space="preserve"> Ligzdojošo putnu aizsardzībai noteikt rekreācijas aktivitāšu ierobežojumus ligzdošanai nozīmīgās vietās un periodā</w:t>
            </w:r>
          </w:p>
        </w:tc>
        <w:tc>
          <w:tcPr>
            <w:tcW w:w="510" w:type="dxa"/>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theme="minorHAnsi"/>
                <w:color w:val="000000"/>
                <w:sz w:val="18"/>
                <w:szCs w:val="18"/>
                <w:lang w:eastAsia="lv-LV"/>
              </w:rPr>
              <w:t>D1</w:t>
            </w:r>
          </w:p>
        </w:tc>
        <w:tc>
          <w:tcPr>
            <w:tcW w:w="993" w:type="dxa"/>
            <w:shd w:val="clear" w:color="auto" w:fill="auto"/>
            <w:noWrap/>
            <w:hideMark/>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110 000</w:t>
            </w:r>
          </w:p>
        </w:tc>
        <w:tc>
          <w:tcPr>
            <w:tcW w:w="992" w:type="dxa"/>
            <w:shd w:val="clear" w:color="auto" w:fill="auto"/>
            <w:noWrap/>
            <w:hideMark/>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120 000</w:t>
            </w:r>
          </w:p>
        </w:tc>
        <w:tc>
          <w:tcPr>
            <w:tcW w:w="4021" w:type="dxa"/>
            <w:shd w:val="clear" w:color="auto" w:fill="auto"/>
            <w:hideMark/>
          </w:tcPr>
          <w:p w:rsidR="00992566" w:rsidRPr="0025178E" w:rsidRDefault="00992566" w:rsidP="00A50041">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(x) Netiešas izmaksas (negatīva ietekme) uz atpūtniekiem un tūristiem piekrastē no ierobežojumiem atpūtas aktivitātēs (nav kvantificētas).</w:t>
            </w:r>
          </w:p>
        </w:tc>
      </w:tr>
      <w:tr w:rsidR="00992566" w:rsidRPr="0025178E" w:rsidTr="00A50041">
        <w:trPr>
          <w:trHeight w:val="480"/>
          <w:jc w:val="center"/>
        </w:trPr>
        <w:tc>
          <w:tcPr>
            <w:tcW w:w="3690" w:type="dxa"/>
            <w:shd w:val="clear" w:color="auto" w:fill="auto"/>
            <w:hideMark/>
          </w:tcPr>
          <w:p w:rsidR="00992566" w:rsidRPr="0025178E" w:rsidRDefault="00992566" w:rsidP="00A50041">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JVM1 PP5</w:t>
            </w:r>
            <w:r w:rsidRPr="0025178E">
              <w:rPr>
                <w:rFonts w:eastAsia="Times New Roman" w:cs="Calibri"/>
                <w:color w:val="000000"/>
                <w:sz w:val="18"/>
                <w:szCs w:val="18"/>
                <w:lang w:eastAsia="lv-LV"/>
              </w:rPr>
              <w:t xml:space="preserve"> Izstrādāt un īstenot sugu aizsardzības plānu (SAP) piekrastē ligzdojošām putnu sugām</w:t>
            </w:r>
          </w:p>
        </w:tc>
        <w:tc>
          <w:tcPr>
            <w:tcW w:w="510" w:type="dxa"/>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theme="minorHAnsi"/>
                <w:color w:val="000000"/>
                <w:sz w:val="18"/>
                <w:szCs w:val="18"/>
                <w:lang w:eastAsia="lv-LV"/>
              </w:rPr>
              <w:t>D1</w:t>
            </w:r>
          </w:p>
        </w:tc>
        <w:tc>
          <w:tcPr>
            <w:tcW w:w="1985" w:type="dxa"/>
            <w:gridSpan w:val="2"/>
            <w:shd w:val="clear" w:color="auto" w:fill="auto"/>
            <w:noWrap/>
            <w:hideMark/>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40 000</w:t>
            </w:r>
          </w:p>
        </w:tc>
        <w:tc>
          <w:tcPr>
            <w:tcW w:w="4021" w:type="dxa"/>
            <w:shd w:val="clear" w:color="auto" w:fill="auto"/>
            <w:hideMark/>
          </w:tcPr>
          <w:p w:rsidR="00992566" w:rsidRPr="0025178E" w:rsidRDefault="00992566" w:rsidP="00A50041">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 xml:space="preserve">Vērtētas tikai SAP izstrādes izmaksas. Izmaksas SAP noteikto pasākumu īstenošanai nevar kvantitatīvi novērtēt, jo pasākumi vēl nav zināmi. </w:t>
            </w:r>
          </w:p>
        </w:tc>
      </w:tr>
      <w:tr w:rsidR="00992566" w:rsidRPr="0025178E" w:rsidTr="00A50041">
        <w:trPr>
          <w:trHeight w:val="480"/>
          <w:jc w:val="center"/>
        </w:trPr>
        <w:tc>
          <w:tcPr>
            <w:tcW w:w="3690" w:type="dxa"/>
            <w:shd w:val="clear" w:color="auto" w:fill="auto"/>
            <w:hideMark/>
          </w:tcPr>
          <w:p w:rsidR="00992566" w:rsidRPr="0025178E" w:rsidRDefault="00992566" w:rsidP="00A50041">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JVM1 PP6</w:t>
            </w:r>
            <w:r w:rsidRPr="0025178E">
              <w:rPr>
                <w:rFonts w:eastAsia="Times New Roman" w:cs="Calibri"/>
                <w:color w:val="000000"/>
                <w:sz w:val="18"/>
                <w:szCs w:val="18"/>
                <w:lang w:eastAsia="lv-LV"/>
              </w:rPr>
              <w:t xml:space="preserve"> Informācija atjaunotajam nacionālajam jūras telpiskajam plānojumam (</w:t>
            </w:r>
            <w:proofErr w:type="spellStart"/>
            <w:r w:rsidRPr="0025178E">
              <w:rPr>
                <w:rFonts w:eastAsia="Times New Roman" w:cs="Calibri"/>
                <w:color w:val="000000"/>
                <w:sz w:val="18"/>
                <w:szCs w:val="18"/>
                <w:lang w:eastAsia="lv-LV"/>
              </w:rPr>
              <w:t>bentiskajiem</w:t>
            </w:r>
            <w:proofErr w:type="spellEnd"/>
            <w:r w:rsidRPr="0025178E">
              <w:rPr>
                <w:rFonts w:eastAsia="Times New Roman" w:cs="Calibri"/>
                <w:color w:val="000000"/>
                <w:sz w:val="18"/>
                <w:szCs w:val="18"/>
                <w:lang w:eastAsia="lv-LV"/>
              </w:rPr>
              <w:t xml:space="preserve"> biotopiem)</w:t>
            </w:r>
          </w:p>
        </w:tc>
        <w:tc>
          <w:tcPr>
            <w:tcW w:w="510" w:type="dxa"/>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theme="minorHAnsi"/>
                <w:color w:val="000000"/>
                <w:sz w:val="18"/>
                <w:szCs w:val="18"/>
                <w:lang w:eastAsia="lv-LV"/>
              </w:rPr>
              <w:t>D1</w:t>
            </w:r>
          </w:p>
        </w:tc>
        <w:tc>
          <w:tcPr>
            <w:tcW w:w="993" w:type="dxa"/>
            <w:shd w:val="clear" w:color="auto" w:fill="auto"/>
            <w:noWrap/>
            <w:hideMark/>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10 000</w:t>
            </w:r>
          </w:p>
        </w:tc>
        <w:tc>
          <w:tcPr>
            <w:tcW w:w="992" w:type="dxa"/>
            <w:shd w:val="clear" w:color="auto" w:fill="auto"/>
            <w:noWrap/>
            <w:hideMark/>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20 000</w:t>
            </w:r>
          </w:p>
        </w:tc>
        <w:tc>
          <w:tcPr>
            <w:tcW w:w="4021" w:type="dxa"/>
            <w:shd w:val="clear" w:color="auto" w:fill="auto"/>
            <w:hideMark/>
          </w:tcPr>
          <w:p w:rsidR="00992566" w:rsidRPr="0025178E" w:rsidRDefault="00992566" w:rsidP="00A50041">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992566" w:rsidRPr="0025178E" w:rsidTr="00A50041">
        <w:trPr>
          <w:trHeight w:val="720"/>
          <w:jc w:val="center"/>
        </w:trPr>
        <w:tc>
          <w:tcPr>
            <w:tcW w:w="3690" w:type="dxa"/>
            <w:vMerge w:val="restart"/>
            <w:shd w:val="clear" w:color="000000" w:fill="D9D9D9"/>
            <w:hideMark/>
          </w:tcPr>
          <w:p w:rsidR="00992566" w:rsidRPr="0025178E" w:rsidRDefault="00992566" w:rsidP="00A50041">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Papildu pasākumi</w:t>
            </w:r>
          </w:p>
        </w:tc>
        <w:tc>
          <w:tcPr>
            <w:tcW w:w="510" w:type="dxa"/>
            <w:vMerge w:val="restart"/>
            <w:shd w:val="clear" w:color="000000" w:fill="D9D9D9"/>
          </w:tcPr>
          <w:p w:rsidR="00992566" w:rsidRPr="0025178E" w:rsidRDefault="00992566" w:rsidP="00A50041">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D</w:t>
            </w:r>
          </w:p>
        </w:tc>
        <w:tc>
          <w:tcPr>
            <w:tcW w:w="1985" w:type="dxa"/>
            <w:gridSpan w:val="2"/>
            <w:shd w:val="clear" w:color="000000" w:fill="D9D9D9"/>
            <w:hideMark/>
          </w:tcPr>
          <w:p w:rsidR="00992566" w:rsidRPr="0025178E" w:rsidRDefault="00992566" w:rsidP="00A50041">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Pasākumu tiešās finansiālās izmaksas plānošanas ciklam (EUR)</w:t>
            </w:r>
          </w:p>
        </w:tc>
        <w:tc>
          <w:tcPr>
            <w:tcW w:w="4021" w:type="dxa"/>
            <w:vMerge w:val="restart"/>
            <w:shd w:val="clear" w:color="000000" w:fill="D9D9D9"/>
            <w:hideMark/>
          </w:tcPr>
          <w:p w:rsidR="00992566" w:rsidRPr="0025178E" w:rsidRDefault="00992566" w:rsidP="00A50041">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Citas izmaksas (zaudētie ienākumi, pieaugums regulārās darbības izmaksās) un negatīvās ietekmes. Piezīmes saistībā ar novērtējumu, t.sk. nenoteiktību.</w:t>
            </w:r>
          </w:p>
        </w:tc>
      </w:tr>
      <w:tr w:rsidR="00992566" w:rsidRPr="0025178E" w:rsidTr="00A50041">
        <w:trPr>
          <w:trHeight w:val="240"/>
          <w:jc w:val="center"/>
        </w:trPr>
        <w:tc>
          <w:tcPr>
            <w:tcW w:w="3690" w:type="dxa"/>
            <w:vMerge/>
            <w:vAlign w:val="center"/>
            <w:hideMark/>
          </w:tcPr>
          <w:p w:rsidR="00992566" w:rsidRPr="0025178E" w:rsidRDefault="00992566" w:rsidP="00A50041">
            <w:pPr>
              <w:spacing w:after="0" w:line="240" w:lineRule="auto"/>
              <w:rPr>
                <w:rFonts w:eastAsia="Times New Roman" w:cs="Calibri"/>
                <w:b/>
                <w:bCs/>
                <w:color w:val="000000"/>
                <w:sz w:val="18"/>
                <w:szCs w:val="18"/>
                <w:lang w:eastAsia="lv-LV"/>
              </w:rPr>
            </w:pPr>
          </w:p>
        </w:tc>
        <w:tc>
          <w:tcPr>
            <w:tcW w:w="510" w:type="dxa"/>
            <w:vMerge/>
            <w:shd w:val="clear" w:color="000000" w:fill="D9D9D9"/>
          </w:tcPr>
          <w:p w:rsidR="00992566" w:rsidRPr="0025178E" w:rsidRDefault="00992566" w:rsidP="00A50041">
            <w:pPr>
              <w:spacing w:after="0" w:line="240" w:lineRule="auto"/>
              <w:jc w:val="center"/>
              <w:rPr>
                <w:rFonts w:eastAsia="Times New Roman" w:cs="Calibri"/>
                <w:b/>
                <w:bCs/>
                <w:color w:val="000000"/>
                <w:sz w:val="18"/>
                <w:szCs w:val="18"/>
                <w:lang w:eastAsia="lv-LV"/>
              </w:rPr>
            </w:pPr>
          </w:p>
        </w:tc>
        <w:tc>
          <w:tcPr>
            <w:tcW w:w="993" w:type="dxa"/>
            <w:shd w:val="clear" w:color="000000" w:fill="D9D9D9"/>
            <w:hideMark/>
          </w:tcPr>
          <w:p w:rsidR="00992566" w:rsidRPr="0025178E" w:rsidRDefault="00992566" w:rsidP="00A50041">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no</w:t>
            </w:r>
          </w:p>
        </w:tc>
        <w:tc>
          <w:tcPr>
            <w:tcW w:w="992" w:type="dxa"/>
            <w:shd w:val="clear" w:color="000000" w:fill="D9D9D9"/>
            <w:hideMark/>
          </w:tcPr>
          <w:p w:rsidR="00992566" w:rsidRPr="0025178E" w:rsidRDefault="00992566" w:rsidP="00A50041">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līdz</w:t>
            </w:r>
          </w:p>
        </w:tc>
        <w:tc>
          <w:tcPr>
            <w:tcW w:w="4021" w:type="dxa"/>
            <w:vMerge/>
            <w:vAlign w:val="center"/>
            <w:hideMark/>
          </w:tcPr>
          <w:p w:rsidR="00992566" w:rsidRPr="0025178E" w:rsidRDefault="00992566" w:rsidP="00A50041">
            <w:pPr>
              <w:spacing w:after="0" w:line="240" w:lineRule="auto"/>
              <w:rPr>
                <w:rFonts w:eastAsia="Times New Roman" w:cs="Calibri"/>
                <w:b/>
                <w:bCs/>
                <w:color w:val="000000"/>
                <w:sz w:val="18"/>
                <w:szCs w:val="18"/>
                <w:lang w:eastAsia="lv-LV"/>
              </w:rPr>
            </w:pPr>
          </w:p>
        </w:tc>
      </w:tr>
      <w:tr w:rsidR="00992566" w:rsidRPr="0025178E" w:rsidTr="00A50041">
        <w:trPr>
          <w:trHeight w:val="720"/>
          <w:jc w:val="center"/>
        </w:trPr>
        <w:tc>
          <w:tcPr>
            <w:tcW w:w="3690" w:type="dxa"/>
            <w:shd w:val="clear" w:color="auto" w:fill="auto"/>
            <w:hideMark/>
          </w:tcPr>
          <w:p w:rsidR="00992566" w:rsidRPr="0025178E" w:rsidRDefault="00992566" w:rsidP="00A50041">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JVM1 PP6</w:t>
            </w:r>
            <w:r w:rsidRPr="0025178E">
              <w:rPr>
                <w:rFonts w:eastAsia="Times New Roman" w:cs="Calibri"/>
                <w:color w:val="000000"/>
                <w:sz w:val="18"/>
                <w:szCs w:val="18"/>
                <w:lang w:eastAsia="lv-LV"/>
              </w:rPr>
              <w:t xml:space="preserve"> Informācija atjaunotajam piekrastes infrastruktūras tematiskajam plānojumam un jūras telpiskajam plānojumam (jūras putniem)</w:t>
            </w:r>
          </w:p>
        </w:tc>
        <w:tc>
          <w:tcPr>
            <w:tcW w:w="510" w:type="dxa"/>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theme="minorHAnsi"/>
                <w:color w:val="000000"/>
                <w:sz w:val="18"/>
                <w:szCs w:val="18"/>
                <w:lang w:eastAsia="lv-LV"/>
              </w:rPr>
              <w:t>D1</w:t>
            </w:r>
          </w:p>
        </w:tc>
        <w:tc>
          <w:tcPr>
            <w:tcW w:w="1985" w:type="dxa"/>
            <w:gridSpan w:val="2"/>
            <w:shd w:val="clear" w:color="auto" w:fill="auto"/>
            <w:noWrap/>
            <w:hideMark/>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10 000</w:t>
            </w:r>
          </w:p>
        </w:tc>
        <w:tc>
          <w:tcPr>
            <w:tcW w:w="4021" w:type="dxa"/>
            <w:shd w:val="clear" w:color="auto" w:fill="auto"/>
            <w:hideMark/>
          </w:tcPr>
          <w:p w:rsidR="00992566" w:rsidRPr="0025178E" w:rsidRDefault="00992566" w:rsidP="00A50041">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992566" w:rsidRPr="0025178E" w:rsidTr="00A50041">
        <w:trPr>
          <w:trHeight w:val="480"/>
          <w:jc w:val="center"/>
        </w:trPr>
        <w:tc>
          <w:tcPr>
            <w:tcW w:w="3690" w:type="dxa"/>
            <w:shd w:val="clear" w:color="auto" w:fill="auto"/>
            <w:hideMark/>
          </w:tcPr>
          <w:p w:rsidR="00992566" w:rsidRPr="0025178E" w:rsidRDefault="00992566" w:rsidP="00A50041">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JVM1 PP7</w:t>
            </w:r>
            <w:r w:rsidRPr="0025178E">
              <w:rPr>
                <w:rFonts w:eastAsia="Times New Roman" w:cs="Calibri"/>
                <w:color w:val="000000"/>
                <w:sz w:val="18"/>
                <w:szCs w:val="18"/>
                <w:lang w:eastAsia="lv-LV"/>
              </w:rPr>
              <w:t xml:space="preserve"> Īstenot izpētes monitoringu informācijas nodrošināšanai papildus indikatoriem (jūras putniem)</w:t>
            </w:r>
          </w:p>
        </w:tc>
        <w:tc>
          <w:tcPr>
            <w:tcW w:w="510" w:type="dxa"/>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theme="minorHAnsi"/>
                <w:color w:val="000000"/>
                <w:sz w:val="18"/>
                <w:szCs w:val="18"/>
                <w:lang w:eastAsia="lv-LV"/>
              </w:rPr>
              <w:t>D1</w:t>
            </w:r>
          </w:p>
        </w:tc>
        <w:tc>
          <w:tcPr>
            <w:tcW w:w="1985" w:type="dxa"/>
            <w:gridSpan w:val="2"/>
            <w:shd w:val="clear" w:color="auto" w:fill="auto"/>
            <w:noWrap/>
            <w:hideMark/>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50 000</w:t>
            </w:r>
          </w:p>
        </w:tc>
        <w:tc>
          <w:tcPr>
            <w:tcW w:w="4021" w:type="dxa"/>
            <w:shd w:val="clear" w:color="auto" w:fill="auto"/>
            <w:hideMark/>
          </w:tcPr>
          <w:p w:rsidR="00992566" w:rsidRPr="0025178E" w:rsidRDefault="00992566" w:rsidP="00A50041">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992566" w:rsidRPr="0025178E" w:rsidTr="00A50041">
        <w:trPr>
          <w:trHeight w:val="480"/>
          <w:jc w:val="center"/>
        </w:trPr>
        <w:tc>
          <w:tcPr>
            <w:tcW w:w="3690" w:type="dxa"/>
            <w:shd w:val="clear" w:color="auto" w:fill="auto"/>
            <w:hideMark/>
          </w:tcPr>
          <w:p w:rsidR="00992566" w:rsidRPr="0025178E" w:rsidRDefault="00992566" w:rsidP="00A50041">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JVM1 PP8</w:t>
            </w:r>
            <w:r w:rsidRPr="0025178E">
              <w:rPr>
                <w:rFonts w:eastAsia="Times New Roman" w:cs="Calibri"/>
                <w:color w:val="000000"/>
                <w:sz w:val="18"/>
                <w:szCs w:val="18"/>
                <w:lang w:eastAsia="lv-LV"/>
              </w:rPr>
              <w:t xml:space="preserve"> Starptautiskā informācijas apmaiņa un koordinācija (jūras putniem)</w:t>
            </w:r>
          </w:p>
        </w:tc>
        <w:tc>
          <w:tcPr>
            <w:tcW w:w="510" w:type="dxa"/>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theme="minorHAnsi"/>
                <w:color w:val="000000"/>
                <w:sz w:val="18"/>
                <w:szCs w:val="18"/>
                <w:lang w:eastAsia="lv-LV"/>
              </w:rPr>
              <w:t>D1</w:t>
            </w:r>
          </w:p>
        </w:tc>
        <w:tc>
          <w:tcPr>
            <w:tcW w:w="1985" w:type="dxa"/>
            <w:gridSpan w:val="2"/>
            <w:shd w:val="clear" w:color="auto" w:fill="auto"/>
            <w:noWrap/>
            <w:hideMark/>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18 000</w:t>
            </w:r>
          </w:p>
        </w:tc>
        <w:tc>
          <w:tcPr>
            <w:tcW w:w="4021" w:type="dxa"/>
            <w:shd w:val="clear" w:color="auto" w:fill="auto"/>
            <w:hideMark/>
          </w:tcPr>
          <w:p w:rsidR="00992566" w:rsidRPr="0025178E" w:rsidRDefault="00992566" w:rsidP="00A50041">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992566" w:rsidRPr="0025178E" w:rsidTr="00A50041">
        <w:trPr>
          <w:trHeight w:val="480"/>
          <w:jc w:val="center"/>
        </w:trPr>
        <w:tc>
          <w:tcPr>
            <w:tcW w:w="3690" w:type="dxa"/>
            <w:shd w:val="clear" w:color="auto" w:fill="auto"/>
            <w:hideMark/>
          </w:tcPr>
          <w:p w:rsidR="00992566" w:rsidRPr="0025178E" w:rsidRDefault="00992566" w:rsidP="00A50041">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JVM1 PP9</w:t>
            </w:r>
            <w:r w:rsidRPr="0025178E">
              <w:rPr>
                <w:rFonts w:eastAsia="Times New Roman" w:cs="Calibri"/>
                <w:color w:val="000000"/>
                <w:sz w:val="18"/>
                <w:szCs w:val="18"/>
                <w:lang w:eastAsia="lv-LV"/>
              </w:rPr>
              <w:t xml:space="preserve"> Īstenoto roņu aizsardzības pasākumu efektivitātes novērtējums</w:t>
            </w:r>
          </w:p>
        </w:tc>
        <w:tc>
          <w:tcPr>
            <w:tcW w:w="510" w:type="dxa"/>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theme="minorHAnsi"/>
                <w:color w:val="000000"/>
                <w:sz w:val="18"/>
                <w:szCs w:val="18"/>
                <w:lang w:eastAsia="lv-LV"/>
              </w:rPr>
              <w:t>D1</w:t>
            </w:r>
          </w:p>
        </w:tc>
        <w:tc>
          <w:tcPr>
            <w:tcW w:w="1985" w:type="dxa"/>
            <w:gridSpan w:val="2"/>
            <w:shd w:val="clear" w:color="auto" w:fill="auto"/>
            <w:noWrap/>
            <w:hideMark/>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50 000</w:t>
            </w:r>
          </w:p>
        </w:tc>
        <w:tc>
          <w:tcPr>
            <w:tcW w:w="4021" w:type="dxa"/>
            <w:shd w:val="clear" w:color="auto" w:fill="auto"/>
            <w:hideMark/>
          </w:tcPr>
          <w:p w:rsidR="00992566" w:rsidRPr="0025178E" w:rsidRDefault="00992566" w:rsidP="00A50041">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992566" w:rsidRPr="0025178E" w:rsidTr="00A50041">
        <w:trPr>
          <w:trHeight w:val="720"/>
          <w:jc w:val="center"/>
        </w:trPr>
        <w:tc>
          <w:tcPr>
            <w:tcW w:w="3690" w:type="dxa"/>
            <w:shd w:val="clear" w:color="auto" w:fill="auto"/>
            <w:hideMark/>
          </w:tcPr>
          <w:p w:rsidR="00992566" w:rsidRPr="0025178E" w:rsidRDefault="00992566" w:rsidP="00A50041">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JVM1 PP10</w:t>
            </w:r>
            <w:r w:rsidRPr="0025178E">
              <w:rPr>
                <w:rFonts w:eastAsia="Times New Roman" w:cs="Calibri"/>
                <w:color w:val="000000"/>
                <w:sz w:val="18"/>
                <w:szCs w:val="18"/>
                <w:lang w:eastAsia="lv-LV"/>
              </w:rPr>
              <w:t xml:space="preserve"> Uzlabot informācijas bāzi par jūras ekosistēmas pakalpojumiem un informācijas publisko pieejamību politikas izstrādei</w:t>
            </w:r>
          </w:p>
        </w:tc>
        <w:tc>
          <w:tcPr>
            <w:tcW w:w="510" w:type="dxa"/>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theme="minorHAnsi"/>
                <w:color w:val="000000"/>
                <w:sz w:val="18"/>
                <w:szCs w:val="18"/>
                <w:lang w:eastAsia="lv-LV"/>
              </w:rPr>
              <w:t>D1</w:t>
            </w:r>
          </w:p>
        </w:tc>
        <w:tc>
          <w:tcPr>
            <w:tcW w:w="1985" w:type="dxa"/>
            <w:gridSpan w:val="2"/>
            <w:shd w:val="clear" w:color="auto" w:fill="auto"/>
            <w:noWrap/>
            <w:hideMark/>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300 000</w:t>
            </w:r>
          </w:p>
        </w:tc>
        <w:tc>
          <w:tcPr>
            <w:tcW w:w="4021" w:type="dxa"/>
            <w:shd w:val="clear" w:color="auto" w:fill="auto"/>
            <w:hideMark/>
          </w:tcPr>
          <w:p w:rsidR="00992566" w:rsidRPr="0025178E" w:rsidRDefault="00992566" w:rsidP="00A50041">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992566" w:rsidRPr="0025178E" w:rsidTr="00A50041">
        <w:trPr>
          <w:trHeight w:val="720"/>
          <w:jc w:val="center"/>
        </w:trPr>
        <w:tc>
          <w:tcPr>
            <w:tcW w:w="3690" w:type="dxa"/>
            <w:shd w:val="clear" w:color="auto" w:fill="auto"/>
            <w:hideMark/>
          </w:tcPr>
          <w:p w:rsidR="00992566" w:rsidRPr="0025178E" w:rsidRDefault="00992566" w:rsidP="00A50041">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 xml:space="preserve">JVM1 PP11 </w:t>
            </w:r>
            <w:r w:rsidRPr="0025178E">
              <w:rPr>
                <w:rFonts w:eastAsia="Times New Roman" w:cs="Calibri"/>
                <w:color w:val="000000"/>
                <w:sz w:val="18"/>
                <w:szCs w:val="18"/>
                <w:lang w:eastAsia="lv-LV"/>
              </w:rPr>
              <w:t>Kuģu un atpūtas laivu korpusu bioloģiskā apauguma apsaimniekošanas normatīvais regulējums un pasākumi</w:t>
            </w:r>
          </w:p>
        </w:tc>
        <w:tc>
          <w:tcPr>
            <w:tcW w:w="510" w:type="dxa"/>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D2</w:t>
            </w:r>
          </w:p>
        </w:tc>
        <w:tc>
          <w:tcPr>
            <w:tcW w:w="1985" w:type="dxa"/>
            <w:gridSpan w:val="2"/>
            <w:shd w:val="clear" w:color="auto" w:fill="auto"/>
            <w:noWrap/>
            <w:hideMark/>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235 000</w:t>
            </w:r>
          </w:p>
        </w:tc>
        <w:tc>
          <w:tcPr>
            <w:tcW w:w="4021" w:type="dxa"/>
            <w:shd w:val="clear" w:color="auto" w:fill="auto"/>
            <w:hideMark/>
          </w:tcPr>
          <w:p w:rsidR="00992566" w:rsidRPr="0025178E" w:rsidRDefault="00992566" w:rsidP="00A50041">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Izmaksu novērtējumam ir ļoti augsta nenoteiktība. Daļa izmaksu ir attiecināmas uz pasākumu JVM5 PP22.</w:t>
            </w:r>
          </w:p>
        </w:tc>
      </w:tr>
      <w:tr w:rsidR="00992566" w:rsidRPr="0025178E" w:rsidTr="00A50041">
        <w:trPr>
          <w:trHeight w:val="480"/>
          <w:jc w:val="center"/>
        </w:trPr>
        <w:tc>
          <w:tcPr>
            <w:tcW w:w="3690" w:type="dxa"/>
            <w:shd w:val="clear" w:color="auto" w:fill="auto"/>
            <w:hideMark/>
          </w:tcPr>
          <w:p w:rsidR="00992566" w:rsidRPr="0025178E" w:rsidRDefault="00992566" w:rsidP="00A50041">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 xml:space="preserve">JVM1 PP12 </w:t>
            </w:r>
            <w:r w:rsidRPr="0025178E">
              <w:rPr>
                <w:rFonts w:eastAsia="Times New Roman" w:cs="Calibri"/>
                <w:color w:val="000000"/>
                <w:sz w:val="18"/>
                <w:szCs w:val="18"/>
                <w:lang w:eastAsia="lv-LV"/>
              </w:rPr>
              <w:t xml:space="preserve">Apaļā </w:t>
            </w:r>
            <w:proofErr w:type="spellStart"/>
            <w:r w:rsidRPr="0025178E">
              <w:rPr>
                <w:rFonts w:eastAsia="Times New Roman" w:cs="Calibri"/>
                <w:color w:val="000000"/>
                <w:sz w:val="18"/>
                <w:szCs w:val="18"/>
                <w:lang w:eastAsia="lv-LV"/>
              </w:rPr>
              <w:t>jūrasgrunduļa</w:t>
            </w:r>
            <w:proofErr w:type="spellEnd"/>
            <w:r w:rsidRPr="0025178E">
              <w:rPr>
                <w:rFonts w:eastAsia="Times New Roman" w:cs="Calibri"/>
                <w:color w:val="000000"/>
                <w:sz w:val="18"/>
                <w:szCs w:val="18"/>
                <w:lang w:eastAsia="lv-LV"/>
              </w:rPr>
              <w:t xml:space="preserve"> populācijas ierobežošanas pasākumi</w:t>
            </w:r>
          </w:p>
        </w:tc>
        <w:tc>
          <w:tcPr>
            <w:tcW w:w="510" w:type="dxa"/>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D2</w:t>
            </w:r>
          </w:p>
        </w:tc>
        <w:tc>
          <w:tcPr>
            <w:tcW w:w="1985" w:type="dxa"/>
            <w:gridSpan w:val="2"/>
            <w:shd w:val="clear" w:color="auto" w:fill="auto"/>
            <w:noWrap/>
            <w:hideMark/>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10 000</w:t>
            </w:r>
          </w:p>
        </w:tc>
        <w:tc>
          <w:tcPr>
            <w:tcW w:w="4021" w:type="dxa"/>
            <w:shd w:val="clear" w:color="auto" w:fill="auto"/>
            <w:hideMark/>
          </w:tcPr>
          <w:p w:rsidR="00992566" w:rsidRPr="0025178E" w:rsidRDefault="00992566" w:rsidP="00A50041">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Rēķinātas tikai pasākuma administratīvās izmaksas. Pieņemts, ka izmaksas ierobežošanas pasākumiem tiek kompensētas ar realizācijas ieņēmumiem.</w:t>
            </w:r>
          </w:p>
        </w:tc>
      </w:tr>
      <w:tr w:rsidR="00992566" w:rsidRPr="0025178E" w:rsidTr="00A50041">
        <w:trPr>
          <w:trHeight w:val="480"/>
          <w:jc w:val="center"/>
        </w:trPr>
        <w:tc>
          <w:tcPr>
            <w:tcW w:w="3690" w:type="dxa"/>
            <w:shd w:val="clear" w:color="auto" w:fill="auto"/>
            <w:hideMark/>
          </w:tcPr>
          <w:p w:rsidR="00992566" w:rsidRPr="0025178E" w:rsidRDefault="00992566" w:rsidP="00A50041">
            <w:pPr>
              <w:spacing w:after="0" w:line="240" w:lineRule="auto"/>
              <w:jc w:val="both"/>
              <w:rPr>
                <w:rFonts w:eastAsia="Times New Roman" w:cs="Calibri"/>
                <w:b/>
                <w:bCs/>
                <w:color w:val="000000"/>
                <w:sz w:val="18"/>
                <w:szCs w:val="18"/>
                <w:lang w:eastAsia="lv-LV"/>
              </w:rPr>
            </w:pPr>
            <w:r w:rsidRPr="0025178E">
              <w:rPr>
                <w:rFonts w:eastAsia="Times New Roman" w:cs="Calibri"/>
                <w:b/>
                <w:bCs/>
                <w:color w:val="000000"/>
                <w:sz w:val="18"/>
                <w:szCs w:val="18"/>
                <w:lang w:eastAsia="lv-LV"/>
              </w:rPr>
              <w:t xml:space="preserve">JVM1 PP13 </w:t>
            </w:r>
            <w:r w:rsidRPr="0025178E">
              <w:rPr>
                <w:rFonts w:eastAsia="Times New Roman" w:cs="Calibri"/>
                <w:color w:val="000000"/>
                <w:sz w:val="18"/>
                <w:szCs w:val="18"/>
                <w:lang w:eastAsia="lv-LV"/>
              </w:rPr>
              <w:t>Informācijas apmaiņa jūras reģionā (svešajām sugām)</w:t>
            </w:r>
          </w:p>
        </w:tc>
        <w:tc>
          <w:tcPr>
            <w:tcW w:w="510" w:type="dxa"/>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D2</w:t>
            </w:r>
          </w:p>
        </w:tc>
        <w:tc>
          <w:tcPr>
            <w:tcW w:w="1985" w:type="dxa"/>
            <w:gridSpan w:val="2"/>
            <w:shd w:val="clear" w:color="auto" w:fill="auto"/>
            <w:noWrap/>
            <w:hideMark/>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20 000</w:t>
            </w:r>
          </w:p>
        </w:tc>
        <w:tc>
          <w:tcPr>
            <w:tcW w:w="4021" w:type="dxa"/>
            <w:shd w:val="clear" w:color="auto" w:fill="auto"/>
            <w:hideMark/>
          </w:tcPr>
          <w:p w:rsidR="00992566" w:rsidRPr="0025178E" w:rsidRDefault="00992566" w:rsidP="00A50041">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992566" w:rsidRPr="0025178E" w:rsidTr="00A50041">
        <w:trPr>
          <w:trHeight w:val="480"/>
          <w:jc w:val="center"/>
        </w:trPr>
        <w:tc>
          <w:tcPr>
            <w:tcW w:w="3690" w:type="dxa"/>
            <w:shd w:val="clear" w:color="auto" w:fill="auto"/>
            <w:hideMark/>
          </w:tcPr>
          <w:p w:rsidR="00992566" w:rsidRPr="0025178E" w:rsidRDefault="00992566" w:rsidP="00A50041">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 xml:space="preserve">JVM1 PP14 </w:t>
            </w:r>
            <w:r w:rsidRPr="0025178E">
              <w:rPr>
                <w:rFonts w:eastAsia="Times New Roman" w:cs="Calibri"/>
                <w:color w:val="000000"/>
                <w:sz w:val="18"/>
                <w:szCs w:val="18"/>
                <w:lang w:eastAsia="lv-LV"/>
              </w:rPr>
              <w:t>Turpināt izpēti par jūras svešo sugu izplatības tendencēm un ietekmēm</w:t>
            </w:r>
          </w:p>
        </w:tc>
        <w:tc>
          <w:tcPr>
            <w:tcW w:w="510" w:type="dxa"/>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D2</w:t>
            </w:r>
          </w:p>
        </w:tc>
        <w:tc>
          <w:tcPr>
            <w:tcW w:w="1985" w:type="dxa"/>
            <w:gridSpan w:val="2"/>
            <w:shd w:val="clear" w:color="auto" w:fill="auto"/>
            <w:noWrap/>
            <w:hideMark/>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200 000</w:t>
            </w:r>
          </w:p>
        </w:tc>
        <w:tc>
          <w:tcPr>
            <w:tcW w:w="4021" w:type="dxa"/>
            <w:shd w:val="clear" w:color="auto" w:fill="auto"/>
            <w:hideMark/>
          </w:tcPr>
          <w:p w:rsidR="00992566" w:rsidRPr="0025178E" w:rsidRDefault="00992566" w:rsidP="00A50041">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992566" w:rsidRPr="0025178E" w:rsidTr="00A50041">
        <w:trPr>
          <w:trHeight w:val="720"/>
          <w:jc w:val="center"/>
        </w:trPr>
        <w:tc>
          <w:tcPr>
            <w:tcW w:w="3690" w:type="dxa"/>
            <w:shd w:val="clear" w:color="auto" w:fill="auto"/>
            <w:hideMark/>
          </w:tcPr>
          <w:p w:rsidR="00992566" w:rsidRPr="0025178E" w:rsidRDefault="00992566" w:rsidP="00A50041">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JVM3 PP15</w:t>
            </w:r>
            <w:r w:rsidRPr="0025178E">
              <w:rPr>
                <w:rFonts w:eastAsia="Times New Roman" w:cs="Calibri"/>
                <w:color w:val="000000"/>
                <w:sz w:val="18"/>
                <w:szCs w:val="18"/>
                <w:lang w:eastAsia="lv-LV"/>
              </w:rPr>
              <w:t xml:space="preserve"> Nacionālais aprēķins </w:t>
            </w:r>
            <w:proofErr w:type="spellStart"/>
            <w:r w:rsidRPr="0025178E">
              <w:rPr>
                <w:rFonts w:eastAsia="Times New Roman" w:cs="Calibri"/>
                <w:color w:val="000000"/>
                <w:sz w:val="18"/>
                <w:szCs w:val="18"/>
                <w:lang w:eastAsia="lv-LV"/>
              </w:rPr>
              <w:t>biogēnu</w:t>
            </w:r>
            <w:proofErr w:type="spellEnd"/>
            <w:r w:rsidRPr="0025178E">
              <w:rPr>
                <w:rFonts w:eastAsia="Times New Roman" w:cs="Calibri"/>
                <w:color w:val="000000"/>
                <w:sz w:val="18"/>
                <w:szCs w:val="18"/>
                <w:lang w:eastAsia="lv-LV"/>
              </w:rPr>
              <w:t xml:space="preserve"> slodzes samazinājumam uz piekrastes ūdeņiem no atjaunoto UBAP (2022-2027) pasākumiem</w:t>
            </w:r>
          </w:p>
        </w:tc>
        <w:tc>
          <w:tcPr>
            <w:tcW w:w="510" w:type="dxa"/>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D5</w:t>
            </w:r>
          </w:p>
        </w:tc>
        <w:tc>
          <w:tcPr>
            <w:tcW w:w="1985" w:type="dxa"/>
            <w:gridSpan w:val="2"/>
            <w:shd w:val="clear" w:color="auto" w:fill="auto"/>
            <w:noWrap/>
            <w:hideMark/>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20 000</w:t>
            </w:r>
          </w:p>
        </w:tc>
        <w:tc>
          <w:tcPr>
            <w:tcW w:w="4021" w:type="dxa"/>
            <w:shd w:val="clear" w:color="auto" w:fill="auto"/>
            <w:hideMark/>
          </w:tcPr>
          <w:p w:rsidR="00992566" w:rsidRPr="0025178E" w:rsidRDefault="00992566" w:rsidP="00A50041">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992566" w:rsidRPr="0025178E" w:rsidTr="00A50041">
        <w:trPr>
          <w:trHeight w:val="960"/>
          <w:jc w:val="center"/>
        </w:trPr>
        <w:tc>
          <w:tcPr>
            <w:tcW w:w="3690" w:type="dxa"/>
            <w:shd w:val="clear" w:color="auto" w:fill="auto"/>
            <w:hideMark/>
          </w:tcPr>
          <w:p w:rsidR="00992566" w:rsidRPr="0025178E" w:rsidRDefault="00992566" w:rsidP="00A50041">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JVM3 PP16</w:t>
            </w:r>
            <w:r w:rsidRPr="0025178E">
              <w:rPr>
                <w:rFonts w:eastAsia="Times New Roman" w:cs="Calibri"/>
                <w:color w:val="000000"/>
                <w:sz w:val="18"/>
                <w:szCs w:val="18"/>
                <w:lang w:eastAsia="lv-LV"/>
              </w:rPr>
              <w:t xml:space="preserve"> Novērtējumi un pasākumu izstrāde slodzei uz upēm un jūru ar </w:t>
            </w:r>
            <w:proofErr w:type="spellStart"/>
            <w:proofErr w:type="gramStart"/>
            <w:r w:rsidRPr="0025178E">
              <w:rPr>
                <w:rFonts w:eastAsia="Times New Roman" w:cs="Calibri"/>
                <w:color w:val="000000"/>
                <w:sz w:val="18"/>
                <w:szCs w:val="18"/>
                <w:lang w:eastAsia="lv-LV"/>
              </w:rPr>
              <w:t>biogēniem</w:t>
            </w:r>
            <w:proofErr w:type="spellEnd"/>
            <w:r w:rsidRPr="0025178E">
              <w:rPr>
                <w:rFonts w:eastAsia="Times New Roman" w:cs="Calibri"/>
                <w:color w:val="000000"/>
                <w:sz w:val="18"/>
                <w:szCs w:val="18"/>
                <w:lang w:eastAsia="lv-LV"/>
              </w:rPr>
              <w:t>, bīstamām</w:t>
            </w:r>
            <w:proofErr w:type="gramEnd"/>
            <w:r w:rsidRPr="0025178E">
              <w:rPr>
                <w:rFonts w:eastAsia="Times New Roman" w:cs="Calibri"/>
                <w:color w:val="000000"/>
                <w:sz w:val="18"/>
                <w:szCs w:val="18"/>
                <w:lang w:eastAsia="lv-LV"/>
              </w:rPr>
              <w:t xml:space="preserve"> vielām un mikro-plastiku no </w:t>
            </w:r>
            <w:proofErr w:type="spellStart"/>
            <w:r w:rsidRPr="0025178E">
              <w:rPr>
                <w:rFonts w:eastAsia="Times New Roman" w:cs="Calibri"/>
                <w:color w:val="000000"/>
                <w:sz w:val="18"/>
                <w:szCs w:val="18"/>
                <w:lang w:eastAsia="lv-LV"/>
              </w:rPr>
              <w:t>lietusūdeņu</w:t>
            </w:r>
            <w:proofErr w:type="spellEnd"/>
            <w:r w:rsidRPr="0025178E">
              <w:rPr>
                <w:rFonts w:eastAsia="Times New Roman" w:cs="Calibri"/>
                <w:color w:val="000000"/>
                <w:sz w:val="18"/>
                <w:szCs w:val="18"/>
                <w:lang w:eastAsia="lv-LV"/>
              </w:rPr>
              <w:t xml:space="preserve"> kanalizācijas ūdeņiem un pārplūdēm (kopā visiem piesārņotāju veidiem)</w:t>
            </w:r>
          </w:p>
        </w:tc>
        <w:tc>
          <w:tcPr>
            <w:tcW w:w="510" w:type="dxa"/>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D5, D8, D10</w:t>
            </w:r>
          </w:p>
        </w:tc>
        <w:tc>
          <w:tcPr>
            <w:tcW w:w="1985" w:type="dxa"/>
            <w:gridSpan w:val="2"/>
            <w:shd w:val="clear" w:color="auto" w:fill="auto"/>
            <w:noWrap/>
            <w:hideMark/>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200 000</w:t>
            </w:r>
          </w:p>
        </w:tc>
        <w:tc>
          <w:tcPr>
            <w:tcW w:w="4021" w:type="dxa"/>
            <w:shd w:val="clear" w:color="auto" w:fill="auto"/>
            <w:hideMark/>
          </w:tcPr>
          <w:p w:rsidR="00992566" w:rsidRPr="0025178E" w:rsidRDefault="00992566" w:rsidP="00A50041">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992566" w:rsidRPr="0025178E" w:rsidTr="00A50041">
        <w:trPr>
          <w:trHeight w:val="960"/>
          <w:jc w:val="center"/>
        </w:trPr>
        <w:tc>
          <w:tcPr>
            <w:tcW w:w="3690" w:type="dxa"/>
            <w:shd w:val="clear" w:color="auto" w:fill="auto"/>
            <w:hideMark/>
          </w:tcPr>
          <w:p w:rsidR="00992566" w:rsidRPr="0025178E" w:rsidRDefault="00992566" w:rsidP="00A50041">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JVM3 PP17</w:t>
            </w:r>
            <w:r w:rsidRPr="0025178E">
              <w:rPr>
                <w:rFonts w:eastAsia="Times New Roman" w:cs="Calibri"/>
                <w:color w:val="000000"/>
                <w:sz w:val="18"/>
                <w:szCs w:val="18"/>
                <w:lang w:eastAsia="lv-LV"/>
              </w:rPr>
              <w:t xml:space="preserve"> Nacionālās informācijas sniegšana HELCOM slodžu ietekmes novērtējumiem </w:t>
            </w:r>
            <w:proofErr w:type="spellStart"/>
            <w:r w:rsidRPr="0025178E">
              <w:rPr>
                <w:rFonts w:eastAsia="Times New Roman" w:cs="Calibri"/>
                <w:color w:val="000000"/>
                <w:sz w:val="18"/>
                <w:szCs w:val="18"/>
                <w:lang w:eastAsia="lv-LV"/>
              </w:rPr>
              <w:t>biogēnu</w:t>
            </w:r>
            <w:proofErr w:type="spellEnd"/>
            <w:r w:rsidRPr="0025178E">
              <w:rPr>
                <w:rFonts w:eastAsia="Times New Roman" w:cs="Calibri"/>
                <w:color w:val="000000"/>
                <w:sz w:val="18"/>
                <w:szCs w:val="18"/>
                <w:lang w:eastAsia="lv-LV"/>
              </w:rPr>
              <w:t xml:space="preserve"> slodzei un ietekmei no kravas kuģu notekūdeņiem, kravu atliekām un kuģu tehniskajiem ūdeņiem</w:t>
            </w:r>
          </w:p>
        </w:tc>
        <w:tc>
          <w:tcPr>
            <w:tcW w:w="510" w:type="dxa"/>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D5</w:t>
            </w:r>
          </w:p>
        </w:tc>
        <w:tc>
          <w:tcPr>
            <w:tcW w:w="1985" w:type="dxa"/>
            <w:gridSpan w:val="2"/>
            <w:shd w:val="clear" w:color="auto" w:fill="auto"/>
            <w:noWrap/>
            <w:hideMark/>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0</w:t>
            </w:r>
          </w:p>
        </w:tc>
        <w:tc>
          <w:tcPr>
            <w:tcW w:w="4021" w:type="dxa"/>
            <w:shd w:val="clear" w:color="auto" w:fill="auto"/>
            <w:hideMark/>
          </w:tcPr>
          <w:p w:rsidR="00992566" w:rsidRPr="0025178E" w:rsidRDefault="00992566" w:rsidP="00A50041">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Novērtētas tikai informācijas sniegšanas izmaksas (praktiski nav izmaksu). Papildu pasākumi kuģniecībai, kas</w:t>
            </w:r>
            <w:proofErr w:type="gramStart"/>
            <w:r w:rsidRPr="0025178E">
              <w:rPr>
                <w:rFonts w:eastAsia="Times New Roman" w:cs="Calibri"/>
                <w:color w:val="000000"/>
                <w:sz w:val="18"/>
                <w:szCs w:val="18"/>
                <w:lang w:eastAsia="lv-LV"/>
              </w:rPr>
              <w:t xml:space="preserve"> iespējams</w:t>
            </w:r>
            <w:proofErr w:type="gramEnd"/>
            <w:r w:rsidRPr="0025178E">
              <w:rPr>
                <w:rFonts w:eastAsia="Times New Roman" w:cs="Calibri"/>
                <w:color w:val="000000"/>
                <w:sz w:val="18"/>
                <w:szCs w:val="18"/>
                <w:lang w:eastAsia="lv-LV"/>
              </w:rPr>
              <w:t xml:space="preserve"> varētu tikt noteikti nākotnē, balstoties uz HELCOM ietekmes novērtējumiem, nav vērtēti (nav zināmi).</w:t>
            </w:r>
          </w:p>
        </w:tc>
      </w:tr>
      <w:tr w:rsidR="00992566" w:rsidRPr="0025178E" w:rsidTr="00A50041">
        <w:trPr>
          <w:trHeight w:val="720"/>
          <w:jc w:val="center"/>
        </w:trPr>
        <w:tc>
          <w:tcPr>
            <w:tcW w:w="3690" w:type="dxa"/>
            <w:shd w:val="clear" w:color="auto" w:fill="auto"/>
            <w:hideMark/>
          </w:tcPr>
          <w:p w:rsidR="00992566" w:rsidRPr="0025178E" w:rsidRDefault="00992566" w:rsidP="00A50041">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JVM3 PP18</w:t>
            </w:r>
            <w:r w:rsidRPr="0025178E">
              <w:rPr>
                <w:rFonts w:eastAsia="Times New Roman" w:cs="Calibri"/>
                <w:color w:val="000000"/>
                <w:sz w:val="18"/>
                <w:szCs w:val="18"/>
                <w:lang w:eastAsia="lv-LV"/>
              </w:rPr>
              <w:t xml:space="preserve"> </w:t>
            </w:r>
            <w:proofErr w:type="spellStart"/>
            <w:r w:rsidRPr="0025178E">
              <w:rPr>
                <w:rFonts w:eastAsia="Times New Roman" w:cs="Calibri"/>
                <w:color w:val="000000"/>
                <w:sz w:val="18"/>
                <w:szCs w:val="18"/>
                <w:lang w:eastAsia="lv-LV"/>
              </w:rPr>
              <w:t>Izvērtējums</w:t>
            </w:r>
            <w:proofErr w:type="spellEnd"/>
            <w:r w:rsidRPr="0025178E">
              <w:rPr>
                <w:rFonts w:eastAsia="Times New Roman" w:cs="Calibri"/>
                <w:color w:val="000000"/>
                <w:sz w:val="18"/>
                <w:szCs w:val="18"/>
                <w:lang w:eastAsia="lv-LV"/>
              </w:rPr>
              <w:t xml:space="preserve"> nepieciešamībai pēc uzlabojumiem Latvijas ostās attiecībā uz mēslojuma pārkraušanu un uzglabāšanu</w:t>
            </w:r>
          </w:p>
        </w:tc>
        <w:tc>
          <w:tcPr>
            <w:tcW w:w="510" w:type="dxa"/>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D5</w:t>
            </w:r>
          </w:p>
        </w:tc>
        <w:tc>
          <w:tcPr>
            <w:tcW w:w="1985" w:type="dxa"/>
            <w:gridSpan w:val="2"/>
            <w:shd w:val="clear" w:color="auto" w:fill="auto"/>
            <w:noWrap/>
            <w:hideMark/>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50 000</w:t>
            </w:r>
          </w:p>
        </w:tc>
        <w:tc>
          <w:tcPr>
            <w:tcW w:w="4021" w:type="dxa"/>
            <w:shd w:val="clear" w:color="auto" w:fill="auto"/>
            <w:hideMark/>
          </w:tcPr>
          <w:p w:rsidR="00992566" w:rsidRPr="0025178E" w:rsidRDefault="00992566" w:rsidP="00A50041">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 xml:space="preserve">Novērtētas tikai </w:t>
            </w:r>
            <w:proofErr w:type="spellStart"/>
            <w:r w:rsidRPr="0025178E">
              <w:rPr>
                <w:rFonts w:eastAsia="Times New Roman" w:cs="Calibri"/>
                <w:color w:val="000000"/>
                <w:sz w:val="18"/>
                <w:szCs w:val="18"/>
                <w:lang w:eastAsia="lv-LV"/>
              </w:rPr>
              <w:t>izvērtējuma</w:t>
            </w:r>
            <w:proofErr w:type="spellEnd"/>
            <w:r w:rsidRPr="0025178E">
              <w:rPr>
                <w:rFonts w:eastAsia="Times New Roman" w:cs="Calibri"/>
                <w:color w:val="000000"/>
                <w:sz w:val="18"/>
                <w:szCs w:val="18"/>
                <w:lang w:eastAsia="lv-LV"/>
              </w:rPr>
              <w:t xml:space="preserve"> izmaksas. Papildu pasākumi ostām, kas</w:t>
            </w:r>
            <w:r w:rsidR="00C345EB">
              <w:rPr>
                <w:rFonts w:eastAsia="Times New Roman" w:cs="Calibri"/>
                <w:color w:val="000000"/>
                <w:sz w:val="18"/>
                <w:szCs w:val="18"/>
                <w:lang w:eastAsia="lv-LV"/>
              </w:rPr>
              <w:t>,</w:t>
            </w:r>
            <w:r w:rsidRPr="0025178E">
              <w:rPr>
                <w:rFonts w:eastAsia="Times New Roman" w:cs="Calibri"/>
                <w:color w:val="000000"/>
                <w:sz w:val="18"/>
                <w:szCs w:val="18"/>
                <w:lang w:eastAsia="lv-LV"/>
              </w:rPr>
              <w:t xml:space="preserve"> iespējams</w:t>
            </w:r>
            <w:r w:rsidR="00C345EB">
              <w:rPr>
                <w:rFonts w:eastAsia="Times New Roman" w:cs="Calibri"/>
                <w:color w:val="000000"/>
                <w:sz w:val="18"/>
                <w:szCs w:val="18"/>
                <w:lang w:eastAsia="lv-LV"/>
              </w:rPr>
              <w:t>,</w:t>
            </w:r>
            <w:r w:rsidRPr="0025178E">
              <w:rPr>
                <w:rFonts w:eastAsia="Times New Roman" w:cs="Calibri"/>
                <w:color w:val="000000"/>
                <w:sz w:val="18"/>
                <w:szCs w:val="18"/>
                <w:lang w:eastAsia="lv-LV"/>
              </w:rPr>
              <w:t xml:space="preserve"> varētu tikt noteikti nākotnē, balstoties uz </w:t>
            </w:r>
            <w:proofErr w:type="spellStart"/>
            <w:r w:rsidRPr="0025178E">
              <w:rPr>
                <w:rFonts w:eastAsia="Times New Roman" w:cs="Calibri"/>
                <w:color w:val="000000"/>
                <w:sz w:val="18"/>
                <w:szCs w:val="18"/>
                <w:lang w:eastAsia="lv-LV"/>
              </w:rPr>
              <w:t>izvērtējumu</w:t>
            </w:r>
            <w:proofErr w:type="spellEnd"/>
            <w:r w:rsidRPr="0025178E">
              <w:rPr>
                <w:rFonts w:eastAsia="Times New Roman" w:cs="Calibri"/>
                <w:color w:val="000000"/>
                <w:sz w:val="18"/>
                <w:szCs w:val="18"/>
                <w:lang w:eastAsia="lv-LV"/>
              </w:rPr>
              <w:t>, nav vērtēti (nav zināmi).</w:t>
            </w:r>
          </w:p>
        </w:tc>
      </w:tr>
      <w:tr w:rsidR="00992566" w:rsidRPr="0025178E" w:rsidTr="00A50041">
        <w:trPr>
          <w:trHeight w:val="480"/>
          <w:jc w:val="center"/>
        </w:trPr>
        <w:tc>
          <w:tcPr>
            <w:tcW w:w="3690" w:type="dxa"/>
            <w:shd w:val="clear" w:color="auto" w:fill="auto"/>
            <w:hideMark/>
          </w:tcPr>
          <w:p w:rsidR="00992566" w:rsidRPr="0025178E" w:rsidRDefault="00992566" w:rsidP="00A50041">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 xml:space="preserve">JVM5 PP19 </w:t>
            </w:r>
            <w:r w:rsidRPr="0025178E">
              <w:rPr>
                <w:rFonts w:eastAsia="Times New Roman" w:cs="Calibri"/>
                <w:color w:val="000000"/>
                <w:sz w:val="18"/>
                <w:szCs w:val="18"/>
                <w:lang w:eastAsia="lv-LV"/>
              </w:rPr>
              <w:t>Īstenot iedzīvotāju informēšanas un izglītošanas pasākumus</w:t>
            </w:r>
          </w:p>
        </w:tc>
        <w:tc>
          <w:tcPr>
            <w:tcW w:w="510" w:type="dxa"/>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D8</w:t>
            </w:r>
          </w:p>
        </w:tc>
        <w:tc>
          <w:tcPr>
            <w:tcW w:w="1985" w:type="dxa"/>
            <w:gridSpan w:val="2"/>
            <w:shd w:val="clear" w:color="auto" w:fill="auto"/>
            <w:noWrap/>
            <w:hideMark/>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200 000</w:t>
            </w:r>
          </w:p>
        </w:tc>
        <w:tc>
          <w:tcPr>
            <w:tcW w:w="4021" w:type="dxa"/>
            <w:shd w:val="clear" w:color="auto" w:fill="auto"/>
            <w:hideMark/>
          </w:tcPr>
          <w:p w:rsidR="00992566" w:rsidRPr="0025178E" w:rsidRDefault="00992566" w:rsidP="00A50041">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992566" w:rsidRPr="0025178E" w:rsidTr="00A50041">
        <w:trPr>
          <w:trHeight w:val="480"/>
          <w:jc w:val="center"/>
        </w:trPr>
        <w:tc>
          <w:tcPr>
            <w:tcW w:w="3690" w:type="dxa"/>
            <w:shd w:val="clear" w:color="auto" w:fill="auto"/>
            <w:hideMark/>
          </w:tcPr>
          <w:p w:rsidR="00992566" w:rsidRPr="0025178E" w:rsidRDefault="00992566" w:rsidP="00A50041">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 xml:space="preserve">JVM5 PP20 </w:t>
            </w:r>
            <w:r w:rsidRPr="0025178E">
              <w:rPr>
                <w:rFonts w:eastAsia="Times New Roman" w:cs="Calibri"/>
                <w:color w:val="000000"/>
                <w:sz w:val="18"/>
                <w:szCs w:val="18"/>
                <w:lang w:eastAsia="lv-LV"/>
              </w:rPr>
              <w:t xml:space="preserve">Veikt izpēti un, ja nepieciešams, izstrādāt LJVS robežvērtības bīstamām vielām jūras </w:t>
            </w:r>
            <w:proofErr w:type="spellStart"/>
            <w:r w:rsidRPr="0025178E">
              <w:rPr>
                <w:rFonts w:eastAsia="Times New Roman" w:cs="Calibri"/>
                <w:color w:val="000000"/>
                <w:sz w:val="18"/>
                <w:szCs w:val="18"/>
                <w:lang w:eastAsia="lv-LV"/>
              </w:rPr>
              <w:t>sedimentos</w:t>
            </w:r>
            <w:proofErr w:type="spellEnd"/>
          </w:p>
        </w:tc>
        <w:tc>
          <w:tcPr>
            <w:tcW w:w="510" w:type="dxa"/>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D8</w:t>
            </w:r>
          </w:p>
        </w:tc>
        <w:tc>
          <w:tcPr>
            <w:tcW w:w="1985" w:type="dxa"/>
            <w:gridSpan w:val="2"/>
            <w:shd w:val="clear" w:color="auto" w:fill="auto"/>
            <w:noWrap/>
            <w:hideMark/>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200 000</w:t>
            </w:r>
          </w:p>
        </w:tc>
        <w:tc>
          <w:tcPr>
            <w:tcW w:w="4021" w:type="dxa"/>
            <w:shd w:val="clear" w:color="auto" w:fill="auto"/>
            <w:hideMark/>
          </w:tcPr>
          <w:p w:rsidR="00992566" w:rsidRPr="0025178E" w:rsidRDefault="00992566" w:rsidP="00A50041">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992566" w:rsidRPr="0025178E" w:rsidTr="00A50041">
        <w:trPr>
          <w:trHeight w:val="720"/>
          <w:jc w:val="center"/>
        </w:trPr>
        <w:tc>
          <w:tcPr>
            <w:tcW w:w="3690" w:type="dxa"/>
            <w:shd w:val="clear" w:color="auto" w:fill="auto"/>
            <w:hideMark/>
          </w:tcPr>
          <w:p w:rsidR="00992566" w:rsidRPr="0025178E" w:rsidRDefault="00992566" w:rsidP="00A50041">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 xml:space="preserve">JVM5 PP21 </w:t>
            </w:r>
            <w:proofErr w:type="spellStart"/>
            <w:r w:rsidRPr="0025178E">
              <w:rPr>
                <w:rFonts w:eastAsia="Times New Roman" w:cs="Calibri"/>
                <w:color w:val="000000"/>
                <w:sz w:val="18"/>
                <w:szCs w:val="18"/>
                <w:lang w:eastAsia="lv-LV"/>
              </w:rPr>
              <w:t>Izvērtējums</w:t>
            </w:r>
            <w:proofErr w:type="spellEnd"/>
            <w:r w:rsidRPr="0025178E">
              <w:rPr>
                <w:rFonts w:eastAsia="Times New Roman" w:cs="Calibri"/>
                <w:color w:val="000000"/>
                <w:sz w:val="18"/>
                <w:szCs w:val="18"/>
                <w:lang w:eastAsia="lv-LV"/>
              </w:rPr>
              <w:t xml:space="preserve"> esošajam regulējumam ostu padziļināšanai, izņemtās grunts izvietošanai un darbībām ar piesārņotu grunti</w:t>
            </w:r>
          </w:p>
        </w:tc>
        <w:tc>
          <w:tcPr>
            <w:tcW w:w="510" w:type="dxa"/>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D8</w:t>
            </w:r>
          </w:p>
        </w:tc>
        <w:tc>
          <w:tcPr>
            <w:tcW w:w="993" w:type="dxa"/>
            <w:shd w:val="clear" w:color="auto" w:fill="auto"/>
            <w:noWrap/>
            <w:hideMark/>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50 000</w:t>
            </w:r>
          </w:p>
        </w:tc>
        <w:tc>
          <w:tcPr>
            <w:tcW w:w="992" w:type="dxa"/>
            <w:shd w:val="clear" w:color="auto" w:fill="auto"/>
            <w:noWrap/>
            <w:hideMark/>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70 000</w:t>
            </w:r>
          </w:p>
        </w:tc>
        <w:tc>
          <w:tcPr>
            <w:tcW w:w="4021" w:type="dxa"/>
            <w:shd w:val="clear" w:color="auto" w:fill="auto"/>
            <w:hideMark/>
          </w:tcPr>
          <w:p w:rsidR="00992566" w:rsidRPr="0025178E" w:rsidRDefault="00992566" w:rsidP="00C345EB">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 xml:space="preserve">(x) Papildu izmaksas ostām, ja tiek noteiktas izmaiņas regulējumā (nav novērtētas, jo papildus rīcības, ja nepieciešams, tiktu noteiktas pēc </w:t>
            </w:r>
            <w:proofErr w:type="spellStart"/>
            <w:r w:rsidRPr="0025178E">
              <w:rPr>
                <w:rFonts w:eastAsia="Times New Roman" w:cs="Calibri"/>
                <w:color w:val="000000"/>
                <w:sz w:val="18"/>
                <w:szCs w:val="18"/>
                <w:lang w:eastAsia="lv-LV"/>
              </w:rPr>
              <w:t>izvērtējuma</w:t>
            </w:r>
            <w:proofErr w:type="spellEnd"/>
            <w:r w:rsidRPr="0025178E">
              <w:rPr>
                <w:rFonts w:eastAsia="Times New Roman" w:cs="Calibri"/>
                <w:color w:val="000000"/>
                <w:sz w:val="18"/>
                <w:szCs w:val="18"/>
                <w:lang w:eastAsia="lv-LV"/>
              </w:rPr>
              <w:t>).</w:t>
            </w:r>
          </w:p>
        </w:tc>
      </w:tr>
      <w:tr w:rsidR="00992566" w:rsidRPr="0025178E" w:rsidTr="00A50041">
        <w:trPr>
          <w:trHeight w:val="480"/>
          <w:jc w:val="center"/>
        </w:trPr>
        <w:tc>
          <w:tcPr>
            <w:tcW w:w="3690" w:type="dxa"/>
            <w:shd w:val="clear" w:color="auto" w:fill="auto"/>
            <w:hideMark/>
          </w:tcPr>
          <w:p w:rsidR="00992566" w:rsidRPr="0025178E" w:rsidRDefault="00992566" w:rsidP="00A50041">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 xml:space="preserve">JVM5 PP22 </w:t>
            </w:r>
            <w:r w:rsidRPr="0025178E">
              <w:rPr>
                <w:rFonts w:eastAsia="Times New Roman" w:cs="Calibri"/>
                <w:color w:val="000000"/>
                <w:sz w:val="18"/>
                <w:szCs w:val="18"/>
                <w:lang w:eastAsia="lv-LV"/>
              </w:rPr>
              <w:t xml:space="preserve">Izstrādāt un ieviest nacionālo regulējumu kuģu remontam un korpusu apkopei </w:t>
            </w:r>
            <w:r w:rsidRPr="0025178E">
              <w:rPr>
                <w:rFonts w:cstheme="minorHAnsi"/>
                <w:sz w:val="18"/>
                <w:szCs w:val="18"/>
              </w:rPr>
              <w:t>TBT piesārņojuma novēršanai</w:t>
            </w:r>
          </w:p>
        </w:tc>
        <w:tc>
          <w:tcPr>
            <w:tcW w:w="510" w:type="dxa"/>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D8</w:t>
            </w:r>
          </w:p>
        </w:tc>
        <w:tc>
          <w:tcPr>
            <w:tcW w:w="993" w:type="dxa"/>
            <w:shd w:val="clear" w:color="auto" w:fill="auto"/>
            <w:noWrap/>
            <w:hideMark/>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w:t>
            </w:r>
          </w:p>
        </w:tc>
        <w:tc>
          <w:tcPr>
            <w:tcW w:w="992" w:type="dxa"/>
            <w:shd w:val="clear" w:color="auto" w:fill="auto"/>
            <w:noWrap/>
            <w:hideMark/>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w:t>
            </w:r>
          </w:p>
        </w:tc>
        <w:tc>
          <w:tcPr>
            <w:tcW w:w="4021" w:type="dxa"/>
            <w:shd w:val="clear" w:color="auto" w:fill="auto"/>
            <w:hideMark/>
          </w:tcPr>
          <w:p w:rsidR="00992566" w:rsidRPr="0025178E" w:rsidRDefault="00992566" w:rsidP="00A50041">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Pasākuma izmaksas novērtētas kopā ar JVM1 PP11 pasākumu.</w:t>
            </w:r>
          </w:p>
        </w:tc>
      </w:tr>
      <w:tr w:rsidR="00992566" w:rsidRPr="0025178E" w:rsidTr="00A50041">
        <w:trPr>
          <w:trHeight w:val="480"/>
          <w:jc w:val="center"/>
        </w:trPr>
        <w:tc>
          <w:tcPr>
            <w:tcW w:w="3690" w:type="dxa"/>
            <w:shd w:val="clear" w:color="auto" w:fill="auto"/>
            <w:hideMark/>
          </w:tcPr>
          <w:p w:rsidR="00992566" w:rsidRPr="0025178E" w:rsidRDefault="00992566" w:rsidP="00A50041">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 xml:space="preserve">JVM5 PP23 </w:t>
            </w:r>
            <w:r w:rsidRPr="0025178E">
              <w:rPr>
                <w:rFonts w:eastAsia="Times New Roman" w:cs="Calibri"/>
                <w:color w:val="000000"/>
                <w:sz w:val="18"/>
                <w:szCs w:val="18"/>
                <w:lang w:eastAsia="lv-LV"/>
              </w:rPr>
              <w:t>Veicināt TBT nesaturošu pret-apauguma krāsu izmantošanu uz atpūtas kuģiem/laivām</w:t>
            </w:r>
          </w:p>
        </w:tc>
        <w:tc>
          <w:tcPr>
            <w:tcW w:w="510" w:type="dxa"/>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D8</w:t>
            </w:r>
          </w:p>
        </w:tc>
        <w:tc>
          <w:tcPr>
            <w:tcW w:w="1985" w:type="dxa"/>
            <w:gridSpan w:val="2"/>
            <w:shd w:val="clear" w:color="auto" w:fill="auto"/>
            <w:noWrap/>
            <w:hideMark/>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50 000</w:t>
            </w:r>
          </w:p>
        </w:tc>
        <w:tc>
          <w:tcPr>
            <w:tcW w:w="4021" w:type="dxa"/>
            <w:shd w:val="clear" w:color="auto" w:fill="auto"/>
            <w:hideMark/>
          </w:tcPr>
          <w:p w:rsidR="00992566" w:rsidRPr="0025178E" w:rsidRDefault="00992566" w:rsidP="00A50041">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 xml:space="preserve">(?) </w:t>
            </w:r>
            <w:proofErr w:type="gramStart"/>
            <w:r w:rsidRPr="0025178E">
              <w:rPr>
                <w:rFonts w:eastAsia="Times New Roman" w:cs="Calibri"/>
                <w:color w:val="000000"/>
                <w:sz w:val="18"/>
                <w:szCs w:val="18"/>
                <w:lang w:eastAsia="lv-LV"/>
              </w:rPr>
              <w:t>Iespējams</w:t>
            </w:r>
            <w:proofErr w:type="gramEnd"/>
            <w:r w:rsidRPr="0025178E">
              <w:rPr>
                <w:rFonts w:eastAsia="Times New Roman" w:cs="Calibri"/>
                <w:color w:val="000000"/>
                <w:sz w:val="18"/>
                <w:szCs w:val="18"/>
                <w:lang w:eastAsia="lv-LV"/>
              </w:rPr>
              <w:t xml:space="preserve"> atpūtas kuģu/laivu īpašniekiem varētu rasties papildus regulārās darbības izmaksas no TBT nesaturošu krāsu izmantošanas.</w:t>
            </w:r>
          </w:p>
        </w:tc>
      </w:tr>
      <w:tr w:rsidR="00992566" w:rsidRPr="0025178E" w:rsidTr="00A50041">
        <w:trPr>
          <w:trHeight w:val="720"/>
          <w:jc w:val="center"/>
        </w:trPr>
        <w:tc>
          <w:tcPr>
            <w:tcW w:w="3690" w:type="dxa"/>
            <w:vMerge w:val="restart"/>
            <w:shd w:val="clear" w:color="000000" w:fill="D9D9D9"/>
            <w:hideMark/>
          </w:tcPr>
          <w:p w:rsidR="00992566" w:rsidRPr="0025178E" w:rsidRDefault="00992566" w:rsidP="00A50041">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Papildu pasākumi</w:t>
            </w:r>
          </w:p>
        </w:tc>
        <w:tc>
          <w:tcPr>
            <w:tcW w:w="510" w:type="dxa"/>
            <w:vMerge w:val="restart"/>
            <w:shd w:val="clear" w:color="000000" w:fill="D9D9D9"/>
          </w:tcPr>
          <w:p w:rsidR="00992566" w:rsidRPr="0025178E" w:rsidRDefault="00992566" w:rsidP="00A50041">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D</w:t>
            </w:r>
          </w:p>
        </w:tc>
        <w:tc>
          <w:tcPr>
            <w:tcW w:w="1985" w:type="dxa"/>
            <w:gridSpan w:val="2"/>
            <w:shd w:val="clear" w:color="000000" w:fill="D9D9D9"/>
            <w:hideMark/>
          </w:tcPr>
          <w:p w:rsidR="00992566" w:rsidRPr="0025178E" w:rsidRDefault="00992566" w:rsidP="00A50041">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Pasākumu tiešās finansiālās izmaksas plānošanas ciklam (EUR)</w:t>
            </w:r>
          </w:p>
        </w:tc>
        <w:tc>
          <w:tcPr>
            <w:tcW w:w="4021" w:type="dxa"/>
            <w:vMerge w:val="restart"/>
            <w:shd w:val="clear" w:color="000000" w:fill="D9D9D9"/>
            <w:hideMark/>
          </w:tcPr>
          <w:p w:rsidR="00992566" w:rsidRPr="0025178E" w:rsidRDefault="00992566" w:rsidP="00A50041">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Citas izmaksas (zaudētie ienākumi, pieaugums regulārās darbības izmaksās) un negatīvās ietekmes. Piezīmes saistībā ar novērtējumu, t.sk. nenoteiktību.</w:t>
            </w:r>
          </w:p>
        </w:tc>
      </w:tr>
      <w:tr w:rsidR="00992566" w:rsidRPr="0025178E" w:rsidTr="00A50041">
        <w:trPr>
          <w:trHeight w:val="240"/>
          <w:jc w:val="center"/>
        </w:trPr>
        <w:tc>
          <w:tcPr>
            <w:tcW w:w="3690" w:type="dxa"/>
            <w:vMerge/>
            <w:vAlign w:val="center"/>
            <w:hideMark/>
          </w:tcPr>
          <w:p w:rsidR="00992566" w:rsidRPr="0025178E" w:rsidRDefault="00992566" w:rsidP="00A50041">
            <w:pPr>
              <w:spacing w:after="0" w:line="240" w:lineRule="auto"/>
              <w:rPr>
                <w:rFonts w:eastAsia="Times New Roman" w:cs="Calibri"/>
                <w:b/>
                <w:bCs/>
                <w:color w:val="000000"/>
                <w:sz w:val="18"/>
                <w:szCs w:val="18"/>
                <w:lang w:eastAsia="lv-LV"/>
              </w:rPr>
            </w:pPr>
          </w:p>
        </w:tc>
        <w:tc>
          <w:tcPr>
            <w:tcW w:w="510" w:type="dxa"/>
            <w:vMerge/>
            <w:shd w:val="clear" w:color="000000" w:fill="D9D9D9"/>
          </w:tcPr>
          <w:p w:rsidR="00992566" w:rsidRPr="0025178E" w:rsidRDefault="00992566" w:rsidP="00A50041">
            <w:pPr>
              <w:spacing w:after="0" w:line="240" w:lineRule="auto"/>
              <w:jc w:val="center"/>
              <w:rPr>
                <w:rFonts w:eastAsia="Times New Roman" w:cs="Calibri"/>
                <w:b/>
                <w:bCs/>
                <w:color w:val="000000"/>
                <w:sz w:val="18"/>
                <w:szCs w:val="18"/>
                <w:lang w:eastAsia="lv-LV"/>
              </w:rPr>
            </w:pPr>
          </w:p>
        </w:tc>
        <w:tc>
          <w:tcPr>
            <w:tcW w:w="993" w:type="dxa"/>
            <w:shd w:val="clear" w:color="000000" w:fill="D9D9D9"/>
            <w:hideMark/>
          </w:tcPr>
          <w:p w:rsidR="00992566" w:rsidRPr="0025178E" w:rsidRDefault="00992566" w:rsidP="00A50041">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no</w:t>
            </w:r>
          </w:p>
        </w:tc>
        <w:tc>
          <w:tcPr>
            <w:tcW w:w="992" w:type="dxa"/>
            <w:shd w:val="clear" w:color="000000" w:fill="D9D9D9"/>
            <w:hideMark/>
          </w:tcPr>
          <w:p w:rsidR="00992566" w:rsidRPr="0025178E" w:rsidRDefault="00992566" w:rsidP="00A50041">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līdz</w:t>
            </w:r>
          </w:p>
        </w:tc>
        <w:tc>
          <w:tcPr>
            <w:tcW w:w="4021" w:type="dxa"/>
            <w:vMerge/>
            <w:vAlign w:val="center"/>
            <w:hideMark/>
          </w:tcPr>
          <w:p w:rsidR="00992566" w:rsidRPr="0025178E" w:rsidRDefault="00992566" w:rsidP="00A50041">
            <w:pPr>
              <w:spacing w:after="0" w:line="240" w:lineRule="auto"/>
              <w:rPr>
                <w:rFonts w:eastAsia="Times New Roman" w:cs="Calibri"/>
                <w:b/>
                <w:bCs/>
                <w:color w:val="000000"/>
                <w:sz w:val="18"/>
                <w:szCs w:val="18"/>
                <w:lang w:eastAsia="lv-LV"/>
              </w:rPr>
            </w:pPr>
          </w:p>
        </w:tc>
      </w:tr>
      <w:tr w:rsidR="00992566" w:rsidRPr="0025178E" w:rsidTr="00A50041">
        <w:trPr>
          <w:trHeight w:val="720"/>
          <w:jc w:val="center"/>
        </w:trPr>
        <w:tc>
          <w:tcPr>
            <w:tcW w:w="3690" w:type="dxa"/>
            <w:shd w:val="clear" w:color="auto" w:fill="auto"/>
            <w:hideMark/>
          </w:tcPr>
          <w:p w:rsidR="00992566" w:rsidRPr="0025178E" w:rsidRDefault="00992566" w:rsidP="00A50041">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 xml:space="preserve">JVM5 PP24 </w:t>
            </w:r>
            <w:r w:rsidRPr="0025178E">
              <w:rPr>
                <w:rFonts w:eastAsia="Times New Roman" w:cs="Calibri"/>
                <w:color w:val="000000"/>
                <w:sz w:val="18"/>
                <w:szCs w:val="18"/>
                <w:lang w:eastAsia="lv-LV"/>
              </w:rPr>
              <w:t>Uzlabot informāciju un tās pieejamību par piesārņojumu ar bīstamajām vielām no piesārņotām vietām un atkritumu izgāztuvēm</w:t>
            </w:r>
          </w:p>
        </w:tc>
        <w:tc>
          <w:tcPr>
            <w:tcW w:w="510" w:type="dxa"/>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D8</w:t>
            </w:r>
          </w:p>
        </w:tc>
        <w:tc>
          <w:tcPr>
            <w:tcW w:w="1985" w:type="dxa"/>
            <w:gridSpan w:val="2"/>
            <w:shd w:val="clear" w:color="auto" w:fill="auto"/>
            <w:noWrap/>
            <w:hideMark/>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nav novērtētas</w:t>
            </w:r>
          </w:p>
        </w:tc>
        <w:tc>
          <w:tcPr>
            <w:tcW w:w="4021" w:type="dxa"/>
            <w:shd w:val="clear" w:color="auto" w:fill="auto"/>
            <w:hideMark/>
          </w:tcPr>
          <w:p w:rsidR="00992566" w:rsidRPr="0025178E" w:rsidRDefault="00992566" w:rsidP="00A50041">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Izmaksas informācijas sistēmu uzlabošanai un papildus monitoringam. Lielākā daļa šo izmaksu attiecināmas uz citu politiku izmaksām (iekšzemes ūdeņu aizsardzība, piesārņoto vietu un atkritumu apsaimniekošana).</w:t>
            </w:r>
          </w:p>
        </w:tc>
      </w:tr>
      <w:tr w:rsidR="00992566" w:rsidRPr="0025178E" w:rsidTr="00A50041">
        <w:trPr>
          <w:trHeight w:val="960"/>
          <w:jc w:val="center"/>
        </w:trPr>
        <w:tc>
          <w:tcPr>
            <w:tcW w:w="3690" w:type="dxa"/>
            <w:shd w:val="clear" w:color="auto" w:fill="auto"/>
            <w:hideMark/>
          </w:tcPr>
          <w:p w:rsidR="00992566" w:rsidRPr="0025178E" w:rsidRDefault="00992566" w:rsidP="00A50041">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 xml:space="preserve">JVM5 PP25 </w:t>
            </w:r>
            <w:r w:rsidRPr="0025178E">
              <w:rPr>
                <w:rFonts w:eastAsia="Times New Roman" w:cs="Calibri"/>
                <w:color w:val="000000"/>
                <w:sz w:val="18"/>
                <w:szCs w:val="18"/>
                <w:lang w:eastAsia="lv-LV"/>
              </w:rPr>
              <w:t xml:space="preserve">Veikt izpēti par slodzi un iespējamiem </w:t>
            </w:r>
            <w:proofErr w:type="gramStart"/>
            <w:r w:rsidRPr="0025178E">
              <w:rPr>
                <w:rFonts w:eastAsia="Times New Roman" w:cs="Calibri"/>
                <w:color w:val="000000"/>
                <w:sz w:val="18"/>
                <w:szCs w:val="18"/>
                <w:lang w:eastAsia="lv-LV"/>
              </w:rPr>
              <w:t>papildus pasākumiem</w:t>
            </w:r>
            <w:proofErr w:type="gramEnd"/>
            <w:r w:rsidRPr="0025178E">
              <w:rPr>
                <w:rFonts w:eastAsia="Times New Roman" w:cs="Calibri"/>
                <w:color w:val="000000"/>
                <w:sz w:val="18"/>
                <w:szCs w:val="18"/>
                <w:lang w:eastAsia="lv-LV"/>
              </w:rPr>
              <w:t xml:space="preserve">, lai novērstu bīstamo vielu noteci un izplatību no augsnē un </w:t>
            </w:r>
            <w:proofErr w:type="spellStart"/>
            <w:r w:rsidRPr="0025178E">
              <w:rPr>
                <w:rFonts w:eastAsia="Times New Roman" w:cs="Calibri"/>
                <w:color w:val="000000"/>
                <w:sz w:val="18"/>
                <w:szCs w:val="18"/>
                <w:lang w:eastAsia="lv-LV"/>
              </w:rPr>
              <w:t>sedimentos</w:t>
            </w:r>
            <w:proofErr w:type="spellEnd"/>
            <w:r w:rsidRPr="0025178E">
              <w:rPr>
                <w:rFonts w:eastAsia="Times New Roman" w:cs="Calibri"/>
                <w:color w:val="000000"/>
                <w:sz w:val="18"/>
                <w:szCs w:val="18"/>
                <w:lang w:eastAsia="lv-LV"/>
              </w:rPr>
              <w:t xml:space="preserve"> uzkrātā piesārņojuma un atkritumu apglabāšanas</w:t>
            </w:r>
          </w:p>
        </w:tc>
        <w:tc>
          <w:tcPr>
            <w:tcW w:w="510" w:type="dxa"/>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D8</w:t>
            </w:r>
          </w:p>
        </w:tc>
        <w:tc>
          <w:tcPr>
            <w:tcW w:w="1985" w:type="dxa"/>
            <w:gridSpan w:val="2"/>
            <w:shd w:val="clear" w:color="auto" w:fill="auto"/>
            <w:noWrap/>
            <w:hideMark/>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200 000</w:t>
            </w:r>
          </w:p>
        </w:tc>
        <w:tc>
          <w:tcPr>
            <w:tcW w:w="4021" w:type="dxa"/>
            <w:shd w:val="clear" w:color="auto" w:fill="auto"/>
            <w:hideMark/>
          </w:tcPr>
          <w:p w:rsidR="00992566" w:rsidRPr="0025178E" w:rsidRDefault="00992566" w:rsidP="00A50041">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992566" w:rsidRPr="0025178E" w:rsidTr="00A50041">
        <w:trPr>
          <w:trHeight w:val="720"/>
          <w:jc w:val="center"/>
        </w:trPr>
        <w:tc>
          <w:tcPr>
            <w:tcW w:w="3690" w:type="dxa"/>
            <w:shd w:val="clear" w:color="auto" w:fill="auto"/>
            <w:hideMark/>
          </w:tcPr>
          <w:p w:rsidR="00992566" w:rsidRPr="0025178E" w:rsidRDefault="00992566" w:rsidP="00A50041">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 xml:space="preserve">JVM5 PP26 </w:t>
            </w:r>
            <w:r w:rsidRPr="0025178E">
              <w:rPr>
                <w:rFonts w:eastAsia="Times New Roman" w:cs="Calibri"/>
                <w:color w:val="000000"/>
                <w:sz w:val="18"/>
                <w:szCs w:val="18"/>
                <w:lang w:eastAsia="lv-LV"/>
              </w:rPr>
              <w:t>Veicināt rūpniecībā, enerģētikas nozarē, jūras transporta un infrastruktūras nozarēs izmantoto materiālu un izstrādājumu, kas satur bīstamās vielas, aizvietošanu</w:t>
            </w:r>
          </w:p>
        </w:tc>
        <w:tc>
          <w:tcPr>
            <w:tcW w:w="510" w:type="dxa"/>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D8</w:t>
            </w:r>
          </w:p>
        </w:tc>
        <w:tc>
          <w:tcPr>
            <w:tcW w:w="1985" w:type="dxa"/>
            <w:gridSpan w:val="2"/>
            <w:shd w:val="clear" w:color="auto" w:fill="auto"/>
            <w:noWrap/>
            <w:hideMark/>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100 000</w:t>
            </w:r>
          </w:p>
        </w:tc>
        <w:tc>
          <w:tcPr>
            <w:tcW w:w="4021" w:type="dxa"/>
            <w:shd w:val="clear" w:color="auto" w:fill="auto"/>
            <w:hideMark/>
          </w:tcPr>
          <w:p w:rsidR="00992566" w:rsidRPr="0025178E" w:rsidRDefault="00992566" w:rsidP="00A50041">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(x) Izmaksas pasākumiem nozarēs materiālu aizvietošanai (nav novērtētas, jo ieteikumi aizvietošanas iespējām tiks izstrādāti pasākuma ietvaros).</w:t>
            </w:r>
          </w:p>
        </w:tc>
      </w:tr>
      <w:tr w:rsidR="00992566" w:rsidRPr="0025178E" w:rsidTr="00A50041">
        <w:trPr>
          <w:trHeight w:val="720"/>
          <w:jc w:val="center"/>
        </w:trPr>
        <w:tc>
          <w:tcPr>
            <w:tcW w:w="3690" w:type="dxa"/>
            <w:shd w:val="clear" w:color="auto" w:fill="auto"/>
            <w:hideMark/>
          </w:tcPr>
          <w:p w:rsidR="00992566" w:rsidRPr="0025178E" w:rsidRDefault="00992566" w:rsidP="00A50041">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w:t>
            </w:r>
            <w:r>
              <w:rPr>
                <w:rFonts w:eastAsia="Times New Roman" w:cs="Calibri"/>
                <w:b/>
                <w:bCs/>
                <w:color w:val="000000"/>
                <w:sz w:val="18"/>
                <w:szCs w:val="18"/>
                <w:lang w:eastAsia="lv-LV"/>
              </w:rPr>
              <w:t>6</w:t>
            </w:r>
            <w:r w:rsidRPr="0025178E">
              <w:rPr>
                <w:rFonts w:eastAsia="Times New Roman" w:cs="Calibri"/>
                <w:b/>
                <w:bCs/>
                <w:color w:val="000000"/>
                <w:sz w:val="18"/>
                <w:szCs w:val="18"/>
                <w:lang w:eastAsia="lv-LV"/>
              </w:rPr>
              <w:t xml:space="preserve"> PP27 </w:t>
            </w:r>
            <w:r w:rsidRPr="0025178E">
              <w:rPr>
                <w:rFonts w:eastAsia="Times New Roman" w:cs="Calibri"/>
                <w:color w:val="000000"/>
                <w:sz w:val="18"/>
                <w:szCs w:val="18"/>
                <w:lang w:eastAsia="lv-LV"/>
              </w:rPr>
              <w:t>Izvērtēt nepieciešamību pēc nacionālā regulējuma, lai nodrošinātu efektīvu stimulu pasīvi nozvejoto atkritumu nodošanai ostās</w:t>
            </w:r>
          </w:p>
        </w:tc>
        <w:tc>
          <w:tcPr>
            <w:tcW w:w="510" w:type="dxa"/>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D10</w:t>
            </w:r>
          </w:p>
        </w:tc>
        <w:tc>
          <w:tcPr>
            <w:tcW w:w="1985" w:type="dxa"/>
            <w:gridSpan w:val="2"/>
            <w:shd w:val="clear" w:color="auto" w:fill="auto"/>
            <w:noWrap/>
            <w:hideMark/>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10 000</w:t>
            </w:r>
          </w:p>
        </w:tc>
        <w:tc>
          <w:tcPr>
            <w:tcW w:w="4021" w:type="dxa"/>
            <w:shd w:val="clear" w:color="auto" w:fill="auto"/>
            <w:hideMark/>
          </w:tcPr>
          <w:p w:rsidR="00992566" w:rsidRPr="0025178E" w:rsidRDefault="00992566" w:rsidP="00A50041">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992566" w:rsidRPr="0025178E" w:rsidTr="00A50041">
        <w:trPr>
          <w:trHeight w:val="480"/>
          <w:jc w:val="center"/>
        </w:trPr>
        <w:tc>
          <w:tcPr>
            <w:tcW w:w="3690" w:type="dxa"/>
            <w:shd w:val="clear" w:color="auto" w:fill="auto"/>
            <w:hideMark/>
          </w:tcPr>
          <w:p w:rsidR="00992566" w:rsidRPr="0025178E" w:rsidRDefault="00992566" w:rsidP="00A50041">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w:t>
            </w:r>
            <w:r>
              <w:rPr>
                <w:rFonts w:eastAsia="Times New Roman" w:cs="Calibri"/>
                <w:b/>
                <w:bCs/>
                <w:color w:val="000000"/>
                <w:sz w:val="18"/>
                <w:szCs w:val="18"/>
                <w:lang w:eastAsia="lv-LV"/>
              </w:rPr>
              <w:t>6</w:t>
            </w:r>
            <w:r w:rsidRPr="0025178E">
              <w:rPr>
                <w:rFonts w:eastAsia="Times New Roman" w:cs="Calibri"/>
                <w:b/>
                <w:bCs/>
                <w:color w:val="000000"/>
                <w:sz w:val="18"/>
                <w:szCs w:val="18"/>
                <w:lang w:eastAsia="lv-LV"/>
              </w:rPr>
              <w:t xml:space="preserve"> PP28 </w:t>
            </w:r>
            <w:r w:rsidRPr="0025178E">
              <w:rPr>
                <w:rFonts w:eastAsia="Times New Roman" w:cs="Calibri"/>
                <w:color w:val="000000"/>
                <w:sz w:val="18"/>
                <w:szCs w:val="18"/>
                <w:lang w:eastAsia="lv-LV"/>
              </w:rPr>
              <w:t>Izstrādāt un ieviest nacionālo regulējumu aizliegumam apzinātai balonu masveida izlaišanai gaisā</w:t>
            </w:r>
          </w:p>
        </w:tc>
        <w:tc>
          <w:tcPr>
            <w:tcW w:w="510" w:type="dxa"/>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D10</w:t>
            </w:r>
          </w:p>
        </w:tc>
        <w:tc>
          <w:tcPr>
            <w:tcW w:w="1985" w:type="dxa"/>
            <w:gridSpan w:val="2"/>
            <w:shd w:val="clear" w:color="auto" w:fill="auto"/>
            <w:noWrap/>
            <w:hideMark/>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10 000</w:t>
            </w:r>
          </w:p>
        </w:tc>
        <w:tc>
          <w:tcPr>
            <w:tcW w:w="4021" w:type="dxa"/>
            <w:shd w:val="clear" w:color="auto" w:fill="auto"/>
            <w:hideMark/>
          </w:tcPr>
          <w:p w:rsidR="00992566" w:rsidRPr="0025178E" w:rsidRDefault="00992566" w:rsidP="00A50041">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 Iespējams</w:t>
            </w:r>
            <w:r w:rsidR="00C345EB">
              <w:rPr>
                <w:rFonts w:eastAsia="Times New Roman" w:cs="Calibri"/>
                <w:color w:val="000000"/>
                <w:sz w:val="18"/>
                <w:szCs w:val="18"/>
                <w:lang w:eastAsia="lv-LV"/>
              </w:rPr>
              <w:t xml:space="preserve">, </w:t>
            </w:r>
            <w:proofErr w:type="gramStart"/>
            <w:r w:rsidR="00C345EB">
              <w:rPr>
                <w:rFonts w:eastAsia="Times New Roman" w:cs="Calibri"/>
                <w:color w:val="000000"/>
                <w:sz w:val="18"/>
                <w:szCs w:val="18"/>
                <w:lang w:eastAsia="lv-LV"/>
              </w:rPr>
              <w:t>ka</w:t>
            </w:r>
            <w:r w:rsidRPr="0025178E">
              <w:rPr>
                <w:rFonts w:eastAsia="Times New Roman" w:cs="Calibri"/>
                <w:color w:val="000000"/>
                <w:sz w:val="18"/>
                <w:szCs w:val="18"/>
                <w:lang w:eastAsia="lv-LV"/>
              </w:rPr>
              <w:t xml:space="preserve"> varētu rasties zaudētie ieņēmumi</w:t>
            </w:r>
            <w:proofErr w:type="gramEnd"/>
            <w:r w:rsidRPr="0025178E">
              <w:rPr>
                <w:rFonts w:eastAsia="Times New Roman" w:cs="Calibri"/>
                <w:color w:val="000000"/>
                <w:sz w:val="18"/>
                <w:szCs w:val="18"/>
                <w:lang w:eastAsia="lv-LV"/>
              </w:rPr>
              <w:t xml:space="preserve"> šādu balonu tirgotājiem no samazinājuma patēriņā (nav kvantificēti).</w:t>
            </w:r>
          </w:p>
        </w:tc>
      </w:tr>
      <w:tr w:rsidR="00992566" w:rsidRPr="0025178E" w:rsidTr="00A50041">
        <w:trPr>
          <w:trHeight w:val="480"/>
          <w:jc w:val="center"/>
        </w:trPr>
        <w:tc>
          <w:tcPr>
            <w:tcW w:w="3690" w:type="dxa"/>
            <w:shd w:val="clear" w:color="auto" w:fill="auto"/>
            <w:hideMark/>
          </w:tcPr>
          <w:p w:rsidR="00992566" w:rsidRPr="0025178E" w:rsidRDefault="00992566" w:rsidP="00A50041">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w:t>
            </w:r>
            <w:r>
              <w:rPr>
                <w:rFonts w:eastAsia="Times New Roman" w:cs="Calibri"/>
                <w:b/>
                <w:bCs/>
                <w:color w:val="000000"/>
                <w:sz w:val="18"/>
                <w:szCs w:val="18"/>
                <w:lang w:eastAsia="lv-LV"/>
              </w:rPr>
              <w:t>6</w:t>
            </w:r>
            <w:r w:rsidRPr="0025178E">
              <w:rPr>
                <w:rFonts w:eastAsia="Times New Roman" w:cs="Calibri"/>
                <w:b/>
                <w:bCs/>
                <w:color w:val="000000"/>
                <w:sz w:val="18"/>
                <w:szCs w:val="18"/>
                <w:lang w:eastAsia="lv-LV"/>
              </w:rPr>
              <w:t xml:space="preserve"> PP29 </w:t>
            </w:r>
            <w:r w:rsidRPr="0025178E">
              <w:rPr>
                <w:rFonts w:eastAsia="Times New Roman" w:cs="Calibri"/>
                <w:color w:val="000000"/>
                <w:sz w:val="18"/>
                <w:szCs w:val="18"/>
                <w:lang w:eastAsia="lv-LV"/>
              </w:rPr>
              <w:t>Izstrādāt vadlīnijas pašvaldībām pasākumu noteikšanai pašvaldību plānošanas/normatīvajos dokumentos</w:t>
            </w:r>
          </w:p>
        </w:tc>
        <w:tc>
          <w:tcPr>
            <w:tcW w:w="510" w:type="dxa"/>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D10</w:t>
            </w:r>
          </w:p>
        </w:tc>
        <w:tc>
          <w:tcPr>
            <w:tcW w:w="1985" w:type="dxa"/>
            <w:gridSpan w:val="2"/>
            <w:shd w:val="clear" w:color="auto" w:fill="auto"/>
            <w:noWrap/>
            <w:hideMark/>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10 000</w:t>
            </w:r>
          </w:p>
        </w:tc>
        <w:tc>
          <w:tcPr>
            <w:tcW w:w="4021" w:type="dxa"/>
            <w:shd w:val="clear" w:color="auto" w:fill="auto"/>
            <w:hideMark/>
          </w:tcPr>
          <w:p w:rsidR="00992566" w:rsidRPr="0025178E" w:rsidRDefault="00992566" w:rsidP="00A50041">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Vērtētas tikai izmaksas vadlīniju izstrādei (arī attiecībā uz efektu).</w:t>
            </w:r>
          </w:p>
        </w:tc>
      </w:tr>
      <w:tr w:rsidR="00992566" w:rsidRPr="0025178E" w:rsidTr="00A50041">
        <w:trPr>
          <w:trHeight w:val="480"/>
          <w:jc w:val="center"/>
        </w:trPr>
        <w:tc>
          <w:tcPr>
            <w:tcW w:w="3690" w:type="dxa"/>
            <w:shd w:val="clear" w:color="auto" w:fill="auto"/>
            <w:hideMark/>
          </w:tcPr>
          <w:p w:rsidR="00992566" w:rsidRPr="0025178E" w:rsidRDefault="00992566" w:rsidP="00A50041">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w:t>
            </w:r>
            <w:r>
              <w:rPr>
                <w:rFonts w:eastAsia="Times New Roman" w:cs="Calibri"/>
                <w:b/>
                <w:bCs/>
                <w:color w:val="000000"/>
                <w:sz w:val="18"/>
                <w:szCs w:val="18"/>
                <w:lang w:eastAsia="lv-LV"/>
              </w:rPr>
              <w:t>6</w:t>
            </w:r>
            <w:r w:rsidRPr="0025178E">
              <w:rPr>
                <w:rFonts w:eastAsia="Times New Roman" w:cs="Calibri"/>
                <w:b/>
                <w:bCs/>
                <w:color w:val="000000"/>
                <w:sz w:val="18"/>
                <w:szCs w:val="18"/>
                <w:lang w:eastAsia="lv-LV"/>
              </w:rPr>
              <w:t xml:space="preserve"> PP30 </w:t>
            </w:r>
            <w:r w:rsidRPr="0025178E">
              <w:rPr>
                <w:rFonts w:eastAsia="Times New Roman" w:cs="Calibri"/>
                <w:color w:val="000000"/>
                <w:sz w:val="18"/>
                <w:szCs w:val="18"/>
                <w:lang w:eastAsia="lv-LV"/>
              </w:rPr>
              <w:t>Īstenot pētījumus par cietajiem atkritumiem un mikro-piegružojumu jūras ūdens vidē</w:t>
            </w:r>
          </w:p>
        </w:tc>
        <w:tc>
          <w:tcPr>
            <w:tcW w:w="510" w:type="dxa"/>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D10</w:t>
            </w:r>
          </w:p>
        </w:tc>
        <w:tc>
          <w:tcPr>
            <w:tcW w:w="1985" w:type="dxa"/>
            <w:gridSpan w:val="2"/>
            <w:shd w:val="clear" w:color="auto" w:fill="auto"/>
            <w:noWrap/>
            <w:hideMark/>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100 000</w:t>
            </w:r>
          </w:p>
        </w:tc>
        <w:tc>
          <w:tcPr>
            <w:tcW w:w="4021" w:type="dxa"/>
            <w:shd w:val="clear" w:color="auto" w:fill="auto"/>
            <w:hideMark/>
          </w:tcPr>
          <w:p w:rsidR="00992566" w:rsidRPr="0025178E" w:rsidRDefault="00992566" w:rsidP="00A50041">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992566" w:rsidRPr="0025178E" w:rsidTr="00A50041">
        <w:trPr>
          <w:trHeight w:val="480"/>
          <w:jc w:val="center"/>
        </w:trPr>
        <w:tc>
          <w:tcPr>
            <w:tcW w:w="3690" w:type="dxa"/>
            <w:shd w:val="clear" w:color="auto" w:fill="auto"/>
            <w:hideMark/>
          </w:tcPr>
          <w:p w:rsidR="00992566" w:rsidRPr="0025178E" w:rsidRDefault="00992566" w:rsidP="00A50041">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JVM</w:t>
            </w:r>
            <w:r>
              <w:rPr>
                <w:rFonts w:eastAsia="Times New Roman" w:cs="Calibri"/>
                <w:b/>
                <w:bCs/>
                <w:color w:val="000000"/>
                <w:sz w:val="18"/>
                <w:szCs w:val="18"/>
                <w:lang w:eastAsia="lv-LV"/>
              </w:rPr>
              <w:t>6</w:t>
            </w:r>
            <w:r w:rsidRPr="0025178E">
              <w:rPr>
                <w:rFonts w:eastAsia="Times New Roman" w:cs="Calibri"/>
                <w:b/>
                <w:bCs/>
                <w:color w:val="000000"/>
                <w:sz w:val="18"/>
                <w:szCs w:val="18"/>
                <w:lang w:eastAsia="lv-LV"/>
              </w:rPr>
              <w:t xml:space="preserve"> PP31 </w:t>
            </w:r>
            <w:r w:rsidRPr="0025178E">
              <w:rPr>
                <w:rFonts w:eastAsia="Times New Roman" w:cs="Calibri"/>
                <w:color w:val="000000"/>
                <w:sz w:val="18"/>
                <w:szCs w:val="18"/>
                <w:lang w:eastAsia="lv-LV"/>
              </w:rPr>
              <w:t>Īstenot pētījumu, lai izstrādātu analītisku politikas lēmumu atbalsta instrumentu pasākumu novērtēšanai</w:t>
            </w:r>
          </w:p>
        </w:tc>
        <w:tc>
          <w:tcPr>
            <w:tcW w:w="510" w:type="dxa"/>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D10</w:t>
            </w:r>
          </w:p>
        </w:tc>
        <w:tc>
          <w:tcPr>
            <w:tcW w:w="1985" w:type="dxa"/>
            <w:gridSpan w:val="2"/>
            <w:shd w:val="clear" w:color="auto" w:fill="auto"/>
            <w:noWrap/>
            <w:hideMark/>
          </w:tcPr>
          <w:p w:rsidR="00992566" w:rsidRPr="0025178E" w:rsidRDefault="00992566" w:rsidP="00A50041">
            <w:pPr>
              <w:spacing w:after="0" w:line="240" w:lineRule="auto"/>
              <w:jc w:val="center"/>
              <w:rPr>
                <w:rFonts w:eastAsia="Times New Roman" w:cs="Calibri"/>
                <w:color w:val="000000"/>
                <w:sz w:val="18"/>
                <w:szCs w:val="18"/>
                <w:lang w:eastAsia="lv-LV"/>
              </w:rPr>
            </w:pPr>
            <w:r w:rsidRPr="0025178E">
              <w:rPr>
                <w:rFonts w:eastAsia="Times New Roman" w:cs="Calibri"/>
                <w:color w:val="000000"/>
                <w:sz w:val="18"/>
                <w:szCs w:val="18"/>
                <w:lang w:eastAsia="lv-LV"/>
              </w:rPr>
              <w:t>30 000</w:t>
            </w:r>
          </w:p>
        </w:tc>
        <w:tc>
          <w:tcPr>
            <w:tcW w:w="4021" w:type="dxa"/>
            <w:shd w:val="clear" w:color="auto" w:fill="auto"/>
            <w:hideMark/>
          </w:tcPr>
          <w:p w:rsidR="00992566" w:rsidRPr="0025178E" w:rsidRDefault="00992566" w:rsidP="00A50041">
            <w:pPr>
              <w:spacing w:after="0" w:line="240" w:lineRule="auto"/>
              <w:rPr>
                <w:rFonts w:eastAsia="Times New Roman" w:cs="Calibri"/>
                <w:color w:val="000000"/>
                <w:sz w:val="18"/>
                <w:szCs w:val="18"/>
                <w:lang w:eastAsia="lv-LV"/>
              </w:rPr>
            </w:pPr>
            <w:r w:rsidRPr="0025178E">
              <w:rPr>
                <w:rFonts w:eastAsia="Times New Roman" w:cs="Calibri"/>
                <w:color w:val="000000"/>
                <w:sz w:val="18"/>
                <w:szCs w:val="18"/>
                <w:lang w:eastAsia="lv-LV"/>
              </w:rPr>
              <w:t>-</w:t>
            </w:r>
          </w:p>
        </w:tc>
      </w:tr>
      <w:tr w:rsidR="00992566" w:rsidRPr="0025178E" w:rsidTr="00A50041">
        <w:trPr>
          <w:trHeight w:val="240"/>
          <w:jc w:val="center"/>
        </w:trPr>
        <w:tc>
          <w:tcPr>
            <w:tcW w:w="4200" w:type="dxa"/>
            <w:gridSpan w:val="2"/>
            <w:shd w:val="clear" w:color="000000" w:fill="DDEBF7"/>
            <w:noWrap/>
            <w:hideMark/>
          </w:tcPr>
          <w:p w:rsidR="00992566" w:rsidRPr="0025178E" w:rsidRDefault="00992566" w:rsidP="00A50041">
            <w:pPr>
              <w:spacing w:after="0" w:line="240" w:lineRule="auto"/>
              <w:jc w:val="right"/>
              <w:rPr>
                <w:rFonts w:eastAsia="Times New Roman" w:cs="Calibri"/>
                <w:b/>
                <w:bCs/>
                <w:color w:val="000000"/>
                <w:sz w:val="18"/>
                <w:szCs w:val="18"/>
                <w:lang w:eastAsia="lv-LV"/>
              </w:rPr>
            </w:pPr>
            <w:r w:rsidRPr="0025178E">
              <w:rPr>
                <w:rFonts w:eastAsia="Times New Roman" w:cs="Calibri"/>
                <w:b/>
                <w:bCs/>
                <w:color w:val="000000"/>
                <w:sz w:val="18"/>
                <w:szCs w:val="18"/>
                <w:lang w:eastAsia="lv-LV"/>
              </w:rPr>
              <w:t>KOPĀ:</w:t>
            </w:r>
          </w:p>
        </w:tc>
        <w:tc>
          <w:tcPr>
            <w:tcW w:w="993" w:type="dxa"/>
            <w:shd w:val="clear" w:color="000000" w:fill="DDEBF7"/>
            <w:noWrap/>
            <w:hideMark/>
          </w:tcPr>
          <w:p w:rsidR="00992566" w:rsidRPr="0025178E" w:rsidRDefault="00992566" w:rsidP="00A50041">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2 473 000</w:t>
            </w:r>
          </w:p>
        </w:tc>
        <w:tc>
          <w:tcPr>
            <w:tcW w:w="992" w:type="dxa"/>
            <w:shd w:val="clear" w:color="000000" w:fill="DDEBF7"/>
            <w:noWrap/>
            <w:hideMark/>
          </w:tcPr>
          <w:p w:rsidR="00992566" w:rsidRPr="0025178E" w:rsidRDefault="00992566" w:rsidP="00A50041">
            <w:pPr>
              <w:spacing w:after="0" w:line="240" w:lineRule="auto"/>
              <w:jc w:val="center"/>
              <w:rPr>
                <w:rFonts w:eastAsia="Times New Roman" w:cs="Calibri"/>
                <w:b/>
                <w:bCs/>
                <w:color w:val="000000"/>
                <w:sz w:val="18"/>
                <w:szCs w:val="18"/>
                <w:lang w:eastAsia="lv-LV"/>
              </w:rPr>
            </w:pPr>
            <w:r w:rsidRPr="0025178E">
              <w:rPr>
                <w:rFonts w:eastAsia="Times New Roman" w:cs="Calibri"/>
                <w:b/>
                <w:bCs/>
                <w:color w:val="000000"/>
                <w:sz w:val="18"/>
                <w:szCs w:val="18"/>
                <w:lang w:eastAsia="lv-LV"/>
              </w:rPr>
              <w:t>2 533 000</w:t>
            </w:r>
          </w:p>
        </w:tc>
        <w:tc>
          <w:tcPr>
            <w:tcW w:w="4021" w:type="dxa"/>
            <w:shd w:val="clear" w:color="000000" w:fill="DDEBF7"/>
            <w:hideMark/>
          </w:tcPr>
          <w:p w:rsidR="00992566" w:rsidRPr="0025178E" w:rsidRDefault="00992566" w:rsidP="00A50041">
            <w:pPr>
              <w:spacing w:after="0" w:line="240" w:lineRule="auto"/>
              <w:rPr>
                <w:rFonts w:eastAsia="Times New Roman" w:cs="Calibri"/>
                <w:b/>
                <w:bCs/>
                <w:color w:val="000000"/>
                <w:sz w:val="18"/>
                <w:szCs w:val="18"/>
                <w:lang w:eastAsia="lv-LV"/>
              </w:rPr>
            </w:pPr>
            <w:r w:rsidRPr="0025178E">
              <w:rPr>
                <w:rFonts w:eastAsia="Times New Roman" w:cs="Calibri"/>
                <w:b/>
                <w:bCs/>
                <w:color w:val="000000"/>
                <w:sz w:val="18"/>
                <w:szCs w:val="18"/>
                <w:lang w:eastAsia="lv-LV"/>
              </w:rPr>
              <w:t> </w:t>
            </w:r>
          </w:p>
        </w:tc>
      </w:tr>
    </w:tbl>
    <w:p w:rsidR="00992566" w:rsidRDefault="00992566" w:rsidP="00992566">
      <w:pPr>
        <w:pStyle w:val="Mans"/>
      </w:pPr>
    </w:p>
    <w:p w:rsidR="005068A7" w:rsidRPr="005068A7" w:rsidRDefault="005068A7" w:rsidP="005068A7"/>
    <w:sectPr w:rsidR="005068A7" w:rsidRPr="005068A7" w:rsidSect="00A70F41">
      <w:headerReference w:type="default" r:id="rId7"/>
      <w:footerReference w:type="firs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76A" w:rsidRDefault="004E376A" w:rsidP="00496DE4">
      <w:pPr>
        <w:spacing w:after="0" w:line="240" w:lineRule="auto"/>
      </w:pPr>
      <w:r>
        <w:separator/>
      </w:r>
    </w:p>
  </w:endnote>
  <w:endnote w:type="continuationSeparator" w:id="0">
    <w:p w:rsidR="004E376A" w:rsidRDefault="004E376A" w:rsidP="00496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F41" w:rsidRPr="00A70F41" w:rsidRDefault="00A70F41" w:rsidP="00A70F41">
    <w:pPr>
      <w:tabs>
        <w:tab w:val="center" w:pos="4153"/>
        <w:tab w:val="right" w:pos="8306"/>
      </w:tabs>
      <w:spacing w:after="0" w:line="240" w:lineRule="auto"/>
      <w:rPr>
        <w:rFonts w:ascii="Calibri" w:hAnsi="Calibri"/>
        <w:sz w:val="20"/>
        <w:szCs w:val="20"/>
      </w:rPr>
    </w:pPr>
    <w:r w:rsidRPr="00A70F41">
      <w:rPr>
        <w:rFonts w:ascii="Times New Roman" w:hAnsi="Times New Roman" w:cs="Times New Roman"/>
        <w:sz w:val="20"/>
        <w:szCs w:val="20"/>
      </w:rPr>
      <w:t>Pasākumu programma laba jūras vides stāvokļa panākšanai 2022.-2027. gadā.</w:t>
    </w:r>
  </w:p>
  <w:p w:rsidR="00A70F41" w:rsidRDefault="00A70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76A" w:rsidRDefault="004E376A" w:rsidP="00496DE4">
      <w:pPr>
        <w:spacing w:after="0" w:line="240" w:lineRule="auto"/>
      </w:pPr>
      <w:r>
        <w:separator/>
      </w:r>
    </w:p>
  </w:footnote>
  <w:footnote w:type="continuationSeparator" w:id="0">
    <w:p w:rsidR="004E376A" w:rsidRDefault="004E376A" w:rsidP="00496DE4">
      <w:pPr>
        <w:spacing w:after="0" w:line="240" w:lineRule="auto"/>
      </w:pPr>
      <w:r>
        <w:continuationSeparator/>
      </w:r>
    </w:p>
  </w:footnote>
  <w:footnote w:id="1">
    <w:p w:rsidR="00054D56" w:rsidRPr="00054D56" w:rsidRDefault="00054D56">
      <w:pPr>
        <w:pStyle w:val="FootnoteText"/>
        <w:rPr>
          <w:lang w:val="en-US"/>
        </w:rPr>
      </w:pPr>
      <w:r>
        <w:rPr>
          <w:rStyle w:val="FootnoteReference"/>
        </w:rPr>
        <w:footnoteRef/>
      </w:r>
      <w:r>
        <w:t xml:space="preserve"> </w:t>
      </w:r>
      <w:proofErr w:type="spellStart"/>
      <w:r w:rsidRPr="00054D56">
        <w:rPr>
          <w:rFonts w:eastAsiaTheme="minorEastAsia"/>
          <w:lang w:val="en-US"/>
        </w:rPr>
        <w:t>Pieejams</w:t>
      </w:r>
      <w:proofErr w:type="spellEnd"/>
      <w:r w:rsidRPr="00054D56">
        <w:rPr>
          <w:rFonts w:eastAsiaTheme="minorEastAsia"/>
          <w:lang w:val="en-US"/>
        </w:rPr>
        <w:t>: http://polsis.mk.gov.lv/documents/5625</w:t>
      </w:r>
    </w:p>
  </w:footnote>
  <w:footnote w:id="2">
    <w:p w:rsidR="003A084C" w:rsidRDefault="003A084C" w:rsidP="003A084C">
      <w:pPr>
        <w:pStyle w:val="FootnoteText"/>
      </w:pPr>
      <w:r>
        <w:rPr>
          <w:rStyle w:val="FootnoteReference"/>
        </w:rPr>
        <w:footnoteRef/>
      </w:r>
      <w:r>
        <w:t xml:space="preserve"> EJZF projekta </w:t>
      </w:r>
      <w:proofErr w:type="spellStart"/>
      <w:r>
        <w:t>ziņojms</w:t>
      </w:r>
      <w:proofErr w:type="spellEnd"/>
      <w:r>
        <w:t xml:space="preserve"> </w:t>
      </w:r>
      <w:hyperlink r:id="rId1" w:history="1">
        <w:r w:rsidRPr="009C5C34">
          <w:rPr>
            <w:rStyle w:val="Hyperlink"/>
          </w:rPr>
          <w:t>https://www.varam.gov.lv/lv/media/32246/download</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20888"/>
      <w:docPartObj>
        <w:docPartGallery w:val="Page Numbers (Top of Page)"/>
        <w:docPartUnique/>
      </w:docPartObj>
    </w:sdtPr>
    <w:sdtEndPr>
      <w:rPr>
        <w:noProof/>
      </w:rPr>
    </w:sdtEndPr>
    <w:sdtContent>
      <w:p w:rsidR="00A70F41" w:rsidRDefault="00A70F41">
        <w:pPr>
          <w:pStyle w:val="Header"/>
          <w:jc w:val="center"/>
        </w:pPr>
        <w:r>
          <w:fldChar w:fldCharType="begin"/>
        </w:r>
        <w:r>
          <w:instrText xml:space="preserve"> PAGE   \* MERGEFORMAT </w:instrText>
        </w:r>
        <w:r>
          <w:fldChar w:fldCharType="separate"/>
        </w:r>
        <w:r w:rsidR="00D212E9">
          <w:rPr>
            <w:noProof/>
          </w:rPr>
          <w:t>4</w:t>
        </w:r>
        <w:r>
          <w:rPr>
            <w:noProof/>
          </w:rPr>
          <w:fldChar w:fldCharType="end"/>
        </w:r>
      </w:p>
    </w:sdtContent>
  </w:sdt>
  <w:p w:rsidR="00496DE4" w:rsidRDefault="00496D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8A7"/>
    <w:rsid w:val="00006E13"/>
    <w:rsid w:val="00054D56"/>
    <w:rsid w:val="0015413A"/>
    <w:rsid w:val="00355330"/>
    <w:rsid w:val="003A084C"/>
    <w:rsid w:val="00496DE4"/>
    <w:rsid w:val="004E376A"/>
    <w:rsid w:val="005068A7"/>
    <w:rsid w:val="00862C8D"/>
    <w:rsid w:val="008D1845"/>
    <w:rsid w:val="008D1E03"/>
    <w:rsid w:val="00992566"/>
    <w:rsid w:val="00A56C55"/>
    <w:rsid w:val="00A70F41"/>
    <w:rsid w:val="00AC47AD"/>
    <w:rsid w:val="00BA38CA"/>
    <w:rsid w:val="00BC6119"/>
    <w:rsid w:val="00C21ACB"/>
    <w:rsid w:val="00C345EB"/>
    <w:rsid w:val="00CA52E7"/>
    <w:rsid w:val="00D212E9"/>
    <w:rsid w:val="00E24BE9"/>
    <w:rsid w:val="00E863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CDCA2-FAE3-4D2C-A227-B7176F08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68A7"/>
    <w:pPr>
      <w:autoSpaceDE w:val="0"/>
      <w:autoSpaceDN w:val="0"/>
      <w:adjustRightInd w:val="0"/>
      <w:spacing w:after="0" w:line="240" w:lineRule="auto"/>
    </w:pPr>
    <w:rPr>
      <w:rFonts w:ascii="Calibri" w:hAnsi="Calibri" w:cs="Calibri"/>
      <w:color w:val="000000"/>
      <w:sz w:val="24"/>
      <w:szCs w:val="24"/>
    </w:rPr>
  </w:style>
  <w:style w:type="paragraph" w:customStyle="1" w:styleId="Mans">
    <w:name w:val="Mans"/>
    <w:link w:val="MansChar"/>
    <w:qFormat/>
    <w:rsid w:val="00992566"/>
    <w:pPr>
      <w:spacing w:after="80" w:line="240" w:lineRule="auto"/>
      <w:jc w:val="both"/>
    </w:pPr>
    <w:rPr>
      <w:rFonts w:ascii="Calibri" w:hAnsi="Calibri"/>
      <w:szCs w:val="20"/>
    </w:rPr>
  </w:style>
  <w:style w:type="character" w:customStyle="1" w:styleId="MansChar">
    <w:name w:val="Mans Char"/>
    <w:basedOn w:val="DefaultParagraphFont"/>
    <w:link w:val="Mans"/>
    <w:rsid w:val="00992566"/>
    <w:rPr>
      <w:rFonts w:ascii="Calibri" w:hAnsi="Calibri"/>
      <w:szCs w:val="20"/>
    </w:rPr>
  </w:style>
  <w:style w:type="paragraph" w:styleId="Header">
    <w:name w:val="header"/>
    <w:basedOn w:val="Normal"/>
    <w:link w:val="HeaderChar"/>
    <w:uiPriority w:val="99"/>
    <w:unhideWhenUsed/>
    <w:rsid w:val="00496DE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6DE4"/>
  </w:style>
  <w:style w:type="paragraph" w:styleId="Footer">
    <w:name w:val="footer"/>
    <w:basedOn w:val="Normal"/>
    <w:link w:val="FooterChar"/>
    <w:uiPriority w:val="99"/>
    <w:unhideWhenUsed/>
    <w:rsid w:val="00496DE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96DE4"/>
  </w:style>
  <w:style w:type="paragraph" w:styleId="FootnoteText">
    <w:name w:val="footnote text"/>
    <w:basedOn w:val="Normal"/>
    <w:link w:val="FootnoteTextChar"/>
    <w:uiPriority w:val="99"/>
    <w:semiHidden/>
    <w:unhideWhenUsed/>
    <w:rsid w:val="00BA38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8CA"/>
    <w:rPr>
      <w:sz w:val="20"/>
      <w:szCs w:val="20"/>
    </w:rPr>
  </w:style>
  <w:style w:type="character" w:styleId="FootnoteReference">
    <w:name w:val="footnote reference"/>
    <w:basedOn w:val="DefaultParagraphFont"/>
    <w:uiPriority w:val="99"/>
    <w:semiHidden/>
    <w:unhideWhenUsed/>
    <w:rsid w:val="00BA38CA"/>
    <w:rPr>
      <w:vertAlign w:val="superscript"/>
    </w:rPr>
  </w:style>
  <w:style w:type="character" w:styleId="Hyperlink">
    <w:name w:val="Hyperlink"/>
    <w:basedOn w:val="DefaultParagraphFont"/>
    <w:uiPriority w:val="99"/>
    <w:unhideWhenUsed/>
    <w:rsid w:val="00BA38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varam.gov.lv/lv/media/32246/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408A2-D81E-473C-B102-CFAB7F110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6496</Words>
  <Characters>3703</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Zasa</dc:creator>
  <cp:keywords/>
  <dc:description/>
  <cp:lastModifiedBy>Baiba Zasa</cp:lastModifiedBy>
  <cp:revision>4</cp:revision>
  <dcterms:created xsi:type="dcterms:W3CDTF">2022-11-13T13:33:00Z</dcterms:created>
  <dcterms:modified xsi:type="dcterms:W3CDTF">2022-11-13T14:09:00Z</dcterms:modified>
</cp:coreProperties>
</file>