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A541B" w14:textId="667173BB" w:rsidR="00C06E68" w:rsidRPr="00C06E68" w:rsidRDefault="00C06E68" w:rsidP="00C06E68">
      <w:pPr>
        <w:jc w:val="right"/>
        <w:rPr>
          <w:b/>
          <w:bCs/>
        </w:rPr>
      </w:pPr>
      <w:bookmarkStart w:id="0" w:name="_Hlk192942371"/>
      <w:r w:rsidRPr="00C06E68">
        <w:rPr>
          <w:b/>
          <w:bCs/>
        </w:rPr>
        <w:t>16.pielikums</w:t>
      </w:r>
    </w:p>
    <w:p w14:paraId="186EC2DB" w14:textId="10BD9784" w:rsidR="00E1020E" w:rsidRPr="00C06E68" w:rsidRDefault="00E1020E" w:rsidP="00C06E68">
      <w:pPr>
        <w:jc w:val="center"/>
        <w:rPr>
          <w:b/>
          <w:bCs/>
        </w:rPr>
      </w:pPr>
      <w:r w:rsidRPr="00C06E68">
        <w:rPr>
          <w:b/>
          <w:bCs/>
        </w:rPr>
        <w:t>Vides pārraudzības valsts biroja komentāru par ietekmes uz vidi novērtējuma Ziņojumu  par SIA “DSG Karjeri</w:t>
      </w:r>
      <w:r w:rsidR="00B6036A" w:rsidRPr="00C06E68">
        <w:rPr>
          <w:b/>
          <w:bCs/>
        </w:rPr>
        <w:t xml:space="preserve"> </w:t>
      </w:r>
      <w:r w:rsidRPr="00C06E68">
        <w:rPr>
          <w:b/>
          <w:bCs/>
        </w:rPr>
        <w:t>paredzēto darbību - derīgo izrakteņu (smilts-grants, smilts un mālsmilts) ieguve (turpmāk - Paredzētā darbība) atradnē “Vālodzes</w:t>
      </w:r>
      <w:r w:rsidR="00C06E68" w:rsidRPr="00C06E68">
        <w:rPr>
          <w:b/>
          <w:bCs/>
        </w:rPr>
        <w:t xml:space="preserve"> VPVB 04.07.2024</w:t>
      </w:r>
      <w:r w:rsidR="00C06E68" w:rsidRPr="00C06E68">
        <w:rPr>
          <w:b/>
          <w:bCs/>
        </w:rPr>
        <w:tab/>
        <w:t>vēstule Nr. 5-01/853/2024</w:t>
      </w:r>
    </w:p>
    <w:tbl>
      <w:tblPr>
        <w:tblStyle w:val="TableGrid"/>
        <w:tblW w:w="0" w:type="auto"/>
        <w:tblLook w:val="04A0" w:firstRow="1" w:lastRow="0" w:firstColumn="1" w:lastColumn="0" w:noHBand="0" w:noVBand="1"/>
      </w:tblPr>
      <w:tblGrid>
        <w:gridCol w:w="988"/>
        <w:gridCol w:w="5528"/>
        <w:gridCol w:w="3118"/>
        <w:gridCol w:w="4111"/>
      </w:tblGrid>
      <w:tr w:rsidR="00E1020E" w:rsidRPr="00C06E68" w14:paraId="6226FEB3" w14:textId="77777777" w:rsidTr="001A4A74">
        <w:tc>
          <w:tcPr>
            <w:tcW w:w="988" w:type="dxa"/>
          </w:tcPr>
          <w:p w14:paraId="721E37B3" w14:textId="337213A5" w:rsidR="00E1020E" w:rsidRPr="00C06E68" w:rsidRDefault="00B6036A">
            <w:pPr>
              <w:rPr>
                <w:b/>
                <w:bCs/>
              </w:rPr>
            </w:pPr>
            <w:r w:rsidRPr="00C06E68">
              <w:rPr>
                <w:b/>
                <w:bCs/>
              </w:rPr>
              <w:t>Nr.</w:t>
            </w:r>
          </w:p>
        </w:tc>
        <w:tc>
          <w:tcPr>
            <w:tcW w:w="5528" w:type="dxa"/>
          </w:tcPr>
          <w:p w14:paraId="0C4BC278" w14:textId="07E2B034" w:rsidR="00E1020E" w:rsidRPr="00C06E68" w:rsidRDefault="00B6036A">
            <w:pPr>
              <w:rPr>
                <w:b/>
                <w:bCs/>
              </w:rPr>
            </w:pPr>
            <w:r w:rsidRPr="00C06E68">
              <w:rPr>
                <w:b/>
                <w:bCs/>
              </w:rPr>
              <w:t>VPVB prasības</w:t>
            </w:r>
          </w:p>
        </w:tc>
        <w:tc>
          <w:tcPr>
            <w:tcW w:w="3118" w:type="dxa"/>
          </w:tcPr>
          <w:p w14:paraId="5170338F" w14:textId="7847FA43" w:rsidR="00E1020E" w:rsidRPr="00C06E68" w:rsidRDefault="00B6036A">
            <w:pPr>
              <w:rPr>
                <w:b/>
                <w:bCs/>
              </w:rPr>
            </w:pPr>
            <w:r w:rsidRPr="00C06E68">
              <w:rPr>
                <w:b/>
                <w:bCs/>
              </w:rPr>
              <w:t>Veiktās darbības</w:t>
            </w:r>
          </w:p>
        </w:tc>
        <w:tc>
          <w:tcPr>
            <w:tcW w:w="4111" w:type="dxa"/>
          </w:tcPr>
          <w:p w14:paraId="5876D71B" w14:textId="0785C142" w:rsidR="00E1020E" w:rsidRPr="00C06E68" w:rsidRDefault="00B6036A">
            <w:pPr>
              <w:rPr>
                <w:b/>
                <w:bCs/>
              </w:rPr>
            </w:pPr>
            <w:r w:rsidRPr="00C06E68">
              <w:rPr>
                <w:b/>
                <w:bCs/>
              </w:rPr>
              <w:t>Komentāri</w:t>
            </w:r>
          </w:p>
        </w:tc>
      </w:tr>
      <w:tr w:rsidR="00E1020E" w14:paraId="1C62AB1F" w14:textId="77777777" w:rsidTr="001A4A74">
        <w:tc>
          <w:tcPr>
            <w:tcW w:w="988" w:type="dxa"/>
          </w:tcPr>
          <w:p w14:paraId="0D05F558" w14:textId="60A7C088" w:rsidR="00E1020E" w:rsidRDefault="00B6036A">
            <w:r>
              <w:t>1.</w:t>
            </w:r>
          </w:p>
        </w:tc>
        <w:tc>
          <w:tcPr>
            <w:tcW w:w="5528" w:type="dxa"/>
          </w:tcPr>
          <w:p w14:paraId="38A1DC0E" w14:textId="24734E1B" w:rsidR="00E1020E" w:rsidRDefault="00B6036A">
            <w:r w:rsidRPr="00B6036A">
              <w:t xml:space="preserve">Ziņojumā precizējama informācija par derīgā izrakteņa ieguves apjomiem un loģistikas risinājumiem gada griezumā. Ziņojuma 4.5. nodaļas 32. lpp. norādīts, ka vidēji vienas dienas laikā paredzēts izvest līdz 1 200 m3 derīgo izrakteņu un veikt 66 reisus , no kā secināms, ka vienā autokravā paredzēts izvest vidēji 18 m3 derīgā materiāla. Savukārt Ziņojuma 33. lpp. norādīts, ka dienas laikā pēc materiāla varētu iebraukt/izbraukt ap 20 automašīnām, bet Ziņojuma 39. lpp. – dienā tiks apkalpotas ne vairāk kā 40 automašīnas (ar kravnesību ap 20 m3). Ziņojuma 5. pielikumā norādīts, ka kravas automašīnu pārvietošanās vērtēta 252 dienas gadā, no kā, saskaņā ar Ziņojuma 32. lpp. informāciju par reisu skaitu, aprēķināms, ka izvesti tiek līdz 270 000 m3 derīgā izrakteņa nevis 100 000 m3, kas ir IVN procedūrā pieprasītais apjoms. Tāpat jāpārliecinās, ka trokšņa un emisiju novērtējumā izmantoti vieni un tie paši pieņēmumi par ieguves un pārstrādes apjomiem, tehnikas noslodzi un nobraukto kilometru vai reisu </w:t>
            </w:r>
            <w:r w:rsidRPr="00B6036A">
              <w:lastRenderedPageBreak/>
              <w:t>skaitu. Visos aprēķinos izmantojams katrai iegūtajai materiāla frakcijai atbilstošs blīvums, izmantotā blīvuma vērtība norādāma Ziņojumā un atbilstošajos pielikumos, kur tiek veikts pārrēķins no tilpuma uz svara vienībām, piemēram, emisiju aprēķinos.</w:t>
            </w:r>
          </w:p>
        </w:tc>
        <w:tc>
          <w:tcPr>
            <w:tcW w:w="3118" w:type="dxa"/>
          </w:tcPr>
          <w:p w14:paraId="1A0351C3" w14:textId="77777777" w:rsidR="00E1020E" w:rsidRDefault="00854E1B">
            <w:r>
              <w:lastRenderedPageBreak/>
              <w:t xml:space="preserve">Veikti precizējumi IVN Ziņojuma sadaļā </w:t>
            </w:r>
            <w:r w:rsidRPr="00854E1B">
              <w:t>4.5.</w:t>
            </w:r>
            <w:r w:rsidRPr="00854E1B">
              <w:tab/>
              <w:t>Derīgā izrakteņa ieguves un apstrādes tehnoloģijas</w:t>
            </w:r>
            <w:r>
              <w:t>;</w:t>
            </w:r>
          </w:p>
          <w:p w14:paraId="3483C992" w14:textId="2C6383A5" w:rsidR="00854E1B" w:rsidRDefault="00854E1B"/>
        </w:tc>
        <w:tc>
          <w:tcPr>
            <w:tcW w:w="4111" w:type="dxa"/>
          </w:tcPr>
          <w:p w14:paraId="7570CA3E" w14:textId="2971C92B" w:rsidR="007C26BE" w:rsidRDefault="00881FB1">
            <w:r>
              <w:t xml:space="preserve">Vēršam uzmanību uz to, ka atradnes izstrādes jauda un izvedamā materiāla apjoms </w:t>
            </w:r>
            <w:r w:rsidR="007C26BE">
              <w:t xml:space="preserve">ir atkarīgi no pieprasījuma un </w:t>
            </w:r>
            <w:r>
              <w:t xml:space="preserve">prognozējami būs atšķirīgs </w:t>
            </w:r>
            <w:r w:rsidR="007C26BE">
              <w:t>kā gad</w:t>
            </w:r>
            <w:r w:rsidR="00C06E68">
              <w:t>a</w:t>
            </w:r>
            <w:r w:rsidR="007C26BE">
              <w:t xml:space="preserve"> griezumā, tā </w:t>
            </w:r>
            <w:r>
              <w:t>dažādos gadalaikos un dienās</w:t>
            </w:r>
            <w:r w:rsidR="007C26BE">
              <w:t>, kā arī var atšķirties automašīnu kravnesība, attiecīgi vienā reisā izvedamais materiāla apjoms</w:t>
            </w:r>
            <w:r>
              <w:t>.</w:t>
            </w:r>
          </w:p>
          <w:p w14:paraId="4AD19A40" w14:textId="0D3F303F" w:rsidR="00E1020E" w:rsidRDefault="00881FB1">
            <w:r>
              <w:t xml:space="preserve"> </w:t>
            </w:r>
            <w:r w:rsidR="00B50251" w:rsidRPr="00B50251">
              <w:t xml:space="preserve">Plānots, ka tiks izstrādāti </w:t>
            </w:r>
            <w:r w:rsidR="007C26BE">
              <w:t xml:space="preserve">maksimāli </w:t>
            </w:r>
            <w:r w:rsidR="000F785C">
              <w:t>100</w:t>
            </w:r>
            <w:r w:rsidR="007C26BE">
              <w:t xml:space="preserve"> </w:t>
            </w:r>
            <w:r w:rsidR="000F785C">
              <w:t>0</w:t>
            </w:r>
            <w:r w:rsidR="00B50251" w:rsidRPr="00B50251">
              <w:t>00 m3</w:t>
            </w:r>
            <w:r w:rsidR="000F785C">
              <w:t xml:space="preserve"> materiāla, no tiem </w:t>
            </w:r>
          </w:p>
          <w:p w14:paraId="50B94C83" w14:textId="2698E2DC" w:rsidR="00B50251" w:rsidRDefault="00B50251">
            <w:r w:rsidRPr="00B50251">
              <w:t>tiks sijāti 40</w:t>
            </w:r>
            <w:r w:rsidR="007C26BE">
              <w:t xml:space="preserve"> </w:t>
            </w:r>
            <w:r w:rsidRPr="00B50251">
              <w:t>000 m3 materiāla (63600 t).</w:t>
            </w:r>
          </w:p>
          <w:p w14:paraId="5F701533" w14:textId="77777777" w:rsidR="00B50251" w:rsidRDefault="00B50251">
            <w:r w:rsidRPr="00B50251">
              <w:t>Plānots, ka aptuveni 15400 m3 (24486 t) materiāla tiks novirzīti uz drupināšanu.</w:t>
            </w:r>
          </w:p>
          <w:p w14:paraId="149BD45A" w14:textId="73272C2E" w:rsidR="00B50251" w:rsidRDefault="00B50251" w:rsidP="00B50251">
            <w:r>
              <w:t xml:space="preserve">Vienas darba dienas ietvaros </w:t>
            </w:r>
            <w:r w:rsidR="00C06E68">
              <w:t xml:space="preserve">vidēji </w:t>
            </w:r>
            <w:r>
              <w:t>plānots izvest</w:t>
            </w:r>
            <w:r w:rsidR="00C06E68">
              <w:t xml:space="preserve"> </w:t>
            </w:r>
            <w:r>
              <w:t xml:space="preserve"> līdz 400 m3 gatavās produkcijas, kas vidēji ir 20 kravas mašīnu reisi dienā.</w:t>
            </w:r>
            <w:r w:rsidR="00C06E68">
              <w:t xml:space="preserve"> Maksimālais reisu skaits paaugstināta pieprasījuma </w:t>
            </w:r>
            <w:r w:rsidR="00C06E68">
              <w:lastRenderedPageBreak/>
              <w:t>apstākļos tiek prognozēts maksimāli 40 kravas mašīnu reisi dienā</w:t>
            </w:r>
          </w:p>
          <w:p w14:paraId="3C29F271" w14:textId="77777777" w:rsidR="00854E1B" w:rsidRDefault="00854E1B" w:rsidP="00B50251"/>
          <w:p w14:paraId="0246EFAA" w14:textId="066D89CC" w:rsidR="00854E1B" w:rsidRDefault="00854E1B" w:rsidP="00B50251">
            <w:r>
              <w:t xml:space="preserve">Vēršam uzmanību uz to, ka </w:t>
            </w:r>
            <w:r w:rsidR="00510BAD">
              <w:t xml:space="preserve">Ziņojumā </w:t>
            </w:r>
            <w:r w:rsidR="000F785C">
              <w:t xml:space="preserve">arī </w:t>
            </w:r>
            <w:r>
              <w:t xml:space="preserve">sniegti un aprēķinos un modelēšanā izmantoti maksimālie izstrādes un </w:t>
            </w:r>
            <w:proofErr w:type="spellStart"/>
            <w:r>
              <w:t>autoreisu</w:t>
            </w:r>
            <w:proofErr w:type="spellEnd"/>
            <w:r>
              <w:t xml:space="preserve"> daudzumi dienā,</w:t>
            </w:r>
            <w:r w:rsidR="00314E0D">
              <w:t xml:space="preserve"> vērtējot iespējami sliktāko scenāriju,</w:t>
            </w:r>
            <w:r>
              <w:t xml:space="preserve"> taču tas nenozīmē, ka katru dienu būs šāds reisu skaits, iespējams, ka būs darba dienas, kad vispār nebūs reisu, vai būs tikai daži. </w:t>
            </w:r>
          </w:p>
          <w:p w14:paraId="0B47A711" w14:textId="77777777" w:rsidR="000F785C" w:rsidRDefault="000F785C" w:rsidP="00B50251">
            <w:r>
              <w:t xml:space="preserve">Tādēļ aprēķinos pieņemts aktīvās izstrādes laikā līdz 40 </w:t>
            </w:r>
            <w:proofErr w:type="spellStart"/>
            <w:r>
              <w:t>autoreisiem</w:t>
            </w:r>
            <w:proofErr w:type="spellEnd"/>
            <w:r>
              <w:t xml:space="preserve"> dienā, bet mazāk aktīvās izstrādes laikā 3 un 4 </w:t>
            </w:r>
            <w:proofErr w:type="spellStart"/>
            <w:r>
              <w:t>autoreisi</w:t>
            </w:r>
            <w:proofErr w:type="spellEnd"/>
            <w:r>
              <w:t xml:space="preserve">, kā arī var būt dienas, kad karjers nestrādā, nav pieprasījuma, materiāls netiek izvests. </w:t>
            </w:r>
          </w:p>
          <w:p w14:paraId="44835B07" w14:textId="77777777" w:rsidR="000F785C" w:rsidRDefault="000F785C" w:rsidP="00B50251"/>
          <w:p w14:paraId="291C2818" w14:textId="28329868" w:rsidR="000F785C" w:rsidRDefault="00672A33" w:rsidP="00B50251">
            <w:r>
              <w:t>Vēršam Jūsu uzmanību uz to, ka materiāla blīvums atradnē ir mainīgs un aprēķinos tiek pieņemts vidējais prognozētais, atbilstoši krājumu aprēķinā izmantotajiem datiem.</w:t>
            </w:r>
          </w:p>
          <w:p w14:paraId="3ED8C0A1" w14:textId="3938F821" w:rsidR="000F785C" w:rsidRDefault="000F785C" w:rsidP="00B50251"/>
        </w:tc>
      </w:tr>
      <w:bookmarkEnd w:id="0"/>
      <w:tr w:rsidR="00E1020E" w14:paraId="359916C4" w14:textId="77777777" w:rsidTr="001A4A74">
        <w:tc>
          <w:tcPr>
            <w:tcW w:w="988" w:type="dxa"/>
          </w:tcPr>
          <w:p w14:paraId="104B7472" w14:textId="33B8CBB5" w:rsidR="00E1020E" w:rsidRDefault="001A4A74">
            <w:r>
              <w:lastRenderedPageBreak/>
              <w:t xml:space="preserve">2. </w:t>
            </w:r>
          </w:p>
        </w:tc>
        <w:tc>
          <w:tcPr>
            <w:tcW w:w="5528" w:type="dxa"/>
          </w:tcPr>
          <w:p w14:paraId="39BEE506" w14:textId="4D829981" w:rsidR="00E1020E" w:rsidRDefault="00B6036A">
            <w:r w:rsidRPr="00B6036A">
              <w:t xml:space="preserve">Ziņojuma 4.4. nodaļā norādīts, ka noņemtās </w:t>
            </w:r>
            <w:proofErr w:type="spellStart"/>
            <w:r w:rsidRPr="00B6036A">
              <w:t>segkārtas</w:t>
            </w:r>
            <w:proofErr w:type="spellEnd"/>
            <w:r w:rsidRPr="00B6036A">
              <w:t xml:space="preserve"> novietošanai ir iespējamas divas alternatīvas – vaļņos gar atradnes robežu, lai veidotu skaņas barjeru, vai īpašuma “Vālodzes” D daļā, kur nav atradnes teritorija, kā rezultātā krautnes netraucēs derīgā materiāla iegūšanai. Aprēķinātais novietojamās </w:t>
            </w:r>
            <w:proofErr w:type="spellStart"/>
            <w:r w:rsidRPr="00B6036A">
              <w:t>segkārtas</w:t>
            </w:r>
            <w:proofErr w:type="spellEnd"/>
            <w:r w:rsidRPr="00B6036A">
              <w:t xml:space="preserve"> daudzums ir aptuveni 29 000 m3. Birojs konstatē, ka Ziņojumā nav pievienota detalizēta informācija par šādu krautņu veidošanu (augstums, novietojuma vietas, izmantošana pēc Atradnes izstrādnes). Savukārt Ziņojuma 4.7. nodaļā šādas alternatīvas nav vērtētas/ salīdzinātas. Tāpat Ziņojumā nav sniegta informācija par celmu apsaimniekošanu (Programmas IV daļas 1.4.3. punkts). Ziņojums atbilstoši papildināms.</w:t>
            </w:r>
          </w:p>
        </w:tc>
        <w:tc>
          <w:tcPr>
            <w:tcW w:w="3118" w:type="dxa"/>
          </w:tcPr>
          <w:p w14:paraId="59D9D546" w14:textId="77777777" w:rsidR="00E1020E" w:rsidRDefault="006211C5">
            <w:r>
              <w:t xml:space="preserve">Pilnveidota sadaļa </w:t>
            </w:r>
            <w:r w:rsidRPr="006211C5">
              <w:t>4.4.Atradnes sagatavošana derīgo izrakteņu ieguvei</w:t>
            </w:r>
            <w:r w:rsidR="0025632F">
              <w:t>.</w:t>
            </w:r>
          </w:p>
          <w:p w14:paraId="6B64E614" w14:textId="3639A8A7" w:rsidR="0025632F" w:rsidRDefault="0025632F">
            <w:r w:rsidRPr="0025632F">
              <w:t xml:space="preserve">Prognozējams, ka tiks izmantotas abas teritorijas </w:t>
            </w:r>
            <w:proofErr w:type="spellStart"/>
            <w:r w:rsidRPr="0025632F">
              <w:t>segkārtas</w:t>
            </w:r>
            <w:proofErr w:type="spellEnd"/>
            <w:r w:rsidRPr="0025632F">
              <w:t xml:space="preserve"> novietošanai, labots</w:t>
            </w:r>
            <w:r>
              <w:t xml:space="preserve"> neveiksmīgi izmantotais termins – alternatīva.</w:t>
            </w:r>
          </w:p>
        </w:tc>
        <w:tc>
          <w:tcPr>
            <w:tcW w:w="4111" w:type="dxa"/>
          </w:tcPr>
          <w:p w14:paraId="3041C481" w14:textId="77777777" w:rsidR="00E1020E" w:rsidRDefault="006211C5">
            <w:r>
              <w:t>Minētie risinājumi tai skaitā krautņu augstums un izvietojums, tiks izstrādāti derīg</w:t>
            </w:r>
            <w:r w:rsidR="00E70392">
              <w:t>o</w:t>
            </w:r>
            <w:r>
              <w:t xml:space="preserve"> izrakteņ</w:t>
            </w:r>
            <w:r w:rsidR="00E70392">
              <w:t>u</w:t>
            </w:r>
            <w:r>
              <w:t xml:space="preserve"> ieguves projektā. </w:t>
            </w:r>
          </w:p>
          <w:p w14:paraId="0ED4227B" w14:textId="77777777" w:rsidR="00E70392" w:rsidRDefault="00E70392">
            <w:r>
              <w:t>Sadaļā 4.4. norādīts, ka: “</w:t>
            </w:r>
            <w:r w:rsidRPr="00E70392">
              <w:t>Noņemtā segkārta tiks izmantota atradnes rekultivācijas darbos.</w:t>
            </w:r>
            <w:r>
              <w:t>”</w:t>
            </w:r>
          </w:p>
          <w:p w14:paraId="26BF11FB" w14:textId="2C8E1EB4" w:rsidR="00684DCB" w:rsidRDefault="00684DCB">
            <w:r>
              <w:t xml:space="preserve">Atmežošana un tai skaitā </w:t>
            </w:r>
            <w:proofErr w:type="spellStart"/>
            <w:r w:rsidR="00185EA1">
              <w:t>atcelmošana</w:t>
            </w:r>
            <w:proofErr w:type="spellEnd"/>
            <w:r w:rsidR="00185EA1">
              <w:t>, celmu žāvēšana un nodošana turpmākai izmantošanai tiks veikta normatīvajos aktos noteiktajā kārtībā.</w:t>
            </w:r>
          </w:p>
          <w:p w14:paraId="341FA22E" w14:textId="77777777" w:rsidR="00E70392" w:rsidRDefault="00E70392"/>
          <w:p w14:paraId="18DB715F" w14:textId="03CCFCC4" w:rsidR="00E70392" w:rsidRDefault="00E70392"/>
        </w:tc>
      </w:tr>
      <w:tr w:rsidR="00E1020E" w14:paraId="5027DF0B" w14:textId="77777777" w:rsidTr="001A4A74">
        <w:tc>
          <w:tcPr>
            <w:tcW w:w="988" w:type="dxa"/>
          </w:tcPr>
          <w:p w14:paraId="4D0B1B18" w14:textId="7607AE30" w:rsidR="00E1020E" w:rsidRDefault="001A4A74">
            <w:r>
              <w:t>3.</w:t>
            </w:r>
          </w:p>
        </w:tc>
        <w:tc>
          <w:tcPr>
            <w:tcW w:w="5528" w:type="dxa"/>
          </w:tcPr>
          <w:p w14:paraId="3E1B42E8" w14:textId="41FB7581" w:rsidR="00E1020E" w:rsidRDefault="00B6036A">
            <w:r w:rsidRPr="00B6036A">
              <w:t xml:space="preserve">Ziņojumā precizējami risinājumi rīcībai ar </w:t>
            </w:r>
            <w:proofErr w:type="spellStart"/>
            <w:r w:rsidRPr="00B6036A">
              <w:t>latvāni</w:t>
            </w:r>
            <w:proofErr w:type="spellEnd"/>
            <w:r w:rsidRPr="00B6036A">
              <w:t xml:space="preserve"> </w:t>
            </w:r>
            <w:proofErr w:type="spellStart"/>
            <w:r w:rsidRPr="00B6036A">
              <w:t>invadētajā</w:t>
            </w:r>
            <w:proofErr w:type="spellEnd"/>
            <w:r w:rsidRPr="00B6036A">
              <w:t xml:space="preserve"> teritorijā noņemtās virskārtas apsaimniekošanai . Pievienojams atbilstošs kartogrāfiskais materiāls.</w:t>
            </w:r>
          </w:p>
        </w:tc>
        <w:tc>
          <w:tcPr>
            <w:tcW w:w="3118" w:type="dxa"/>
          </w:tcPr>
          <w:p w14:paraId="36E29A4B" w14:textId="34379DDE" w:rsidR="00E1020E" w:rsidRDefault="0030578B">
            <w:r>
              <w:t xml:space="preserve">Ziņojuma pilnveidošana nav nepieciešama </w:t>
            </w:r>
          </w:p>
        </w:tc>
        <w:tc>
          <w:tcPr>
            <w:tcW w:w="4111" w:type="dxa"/>
          </w:tcPr>
          <w:p w14:paraId="1A1A8F2B" w14:textId="3303BC01" w:rsidR="00E1020E" w:rsidRDefault="008574BB">
            <w:r>
              <w:t xml:space="preserve"> Ar </w:t>
            </w:r>
            <w:proofErr w:type="spellStart"/>
            <w:r>
              <w:t>latvāni</w:t>
            </w:r>
            <w:proofErr w:type="spellEnd"/>
            <w:r>
              <w:t xml:space="preserve"> </w:t>
            </w:r>
            <w:proofErr w:type="spellStart"/>
            <w:r>
              <w:t>invadētā</w:t>
            </w:r>
            <w:proofErr w:type="spellEnd"/>
            <w:r>
              <w:t xml:space="preserve"> teritorija ir norādīta </w:t>
            </w:r>
            <w:r w:rsidRPr="008574BB">
              <w:t>5.4.1.attēl</w:t>
            </w:r>
            <w:r>
              <w:t>ā</w:t>
            </w:r>
            <w:r w:rsidRPr="008574BB">
              <w:t xml:space="preserve"> Raunas pagasta teritorijas plānotā (atļautā) izmantošana</w:t>
            </w:r>
            <w:r>
              <w:t xml:space="preserve">. </w:t>
            </w:r>
            <w:r w:rsidR="0030578B">
              <w:t xml:space="preserve">Šī teritorija </w:t>
            </w:r>
            <w:r>
              <w:t xml:space="preserve"> ir definēta tikai šajā plānošanas dokumentā. Sugu un biotopu eksperte nav konstatējusi īpašuma teritorijā ar </w:t>
            </w:r>
            <w:proofErr w:type="spellStart"/>
            <w:r>
              <w:t>latvāni</w:t>
            </w:r>
            <w:proofErr w:type="spellEnd"/>
            <w:r>
              <w:t xml:space="preserve"> </w:t>
            </w:r>
            <w:proofErr w:type="spellStart"/>
            <w:r>
              <w:t>invadētas</w:t>
            </w:r>
            <w:proofErr w:type="spellEnd"/>
            <w:r>
              <w:t xml:space="preserve"> platības. </w:t>
            </w:r>
          </w:p>
          <w:p w14:paraId="2E460B2F" w14:textId="1E63AC6B" w:rsidR="00E34527" w:rsidRDefault="00E34527">
            <w:r>
              <w:t xml:space="preserve">Tādējādi minētajā teritorijā, ja uzsākot darbību tiks konstatēta </w:t>
            </w:r>
            <w:proofErr w:type="spellStart"/>
            <w:r>
              <w:t>latvāņa</w:t>
            </w:r>
            <w:proofErr w:type="spellEnd"/>
            <w:r>
              <w:t xml:space="preserve"> esamība, tiks pilnībā ievēroti </w:t>
            </w:r>
            <w:r w:rsidRPr="00E34527">
              <w:t xml:space="preserve">2008. gada 14. jūlija Ministru kabineta </w:t>
            </w:r>
            <w:r w:rsidRPr="00E34527">
              <w:lastRenderedPageBreak/>
              <w:t>noteikumi Nr.559 „</w:t>
            </w:r>
            <w:proofErr w:type="spellStart"/>
            <w:r w:rsidRPr="00E34527">
              <w:t>Invazīvo</w:t>
            </w:r>
            <w:proofErr w:type="spellEnd"/>
            <w:r w:rsidRPr="00E34527">
              <w:t xml:space="preserve"> augu sugas – Sosnovska </w:t>
            </w:r>
            <w:proofErr w:type="spellStart"/>
            <w:r w:rsidRPr="00E34527">
              <w:t>latvāņa</w:t>
            </w:r>
            <w:proofErr w:type="spellEnd"/>
            <w:r w:rsidRPr="00E34527">
              <w:t xml:space="preserve"> –izplatības ierobežošanas noteikumi”</w:t>
            </w:r>
          </w:p>
        </w:tc>
      </w:tr>
      <w:tr w:rsidR="00E1020E" w14:paraId="4EBECFB8" w14:textId="77777777" w:rsidTr="001A4A74">
        <w:tc>
          <w:tcPr>
            <w:tcW w:w="988" w:type="dxa"/>
          </w:tcPr>
          <w:p w14:paraId="24A48216" w14:textId="79D8B0F1" w:rsidR="00E1020E" w:rsidRDefault="001A4A74">
            <w:r>
              <w:lastRenderedPageBreak/>
              <w:t>4.</w:t>
            </w:r>
          </w:p>
        </w:tc>
        <w:tc>
          <w:tcPr>
            <w:tcW w:w="5528" w:type="dxa"/>
          </w:tcPr>
          <w:p w14:paraId="561F5EB5" w14:textId="46E438A6" w:rsidR="00E1020E" w:rsidRDefault="00B6036A">
            <w:r w:rsidRPr="00B6036A">
              <w:t>Ziņojums jāpapildina ar kartogrāfisko informāciju, kurā norādītas visas aizsargjoslas un iespējamie ieguves ierobežojumi. Kartogrāfiskais materiāls jāsagatavo atbilstošā kvalitātē, norādot izmantotos apzīmējumus un kartes mērogu (Programmas IV daļas 1.4.2. punkts).</w:t>
            </w:r>
          </w:p>
        </w:tc>
        <w:tc>
          <w:tcPr>
            <w:tcW w:w="3118" w:type="dxa"/>
          </w:tcPr>
          <w:p w14:paraId="0C8121FE" w14:textId="6FF2D9C6" w:rsidR="00E1020E" w:rsidRDefault="0025632F">
            <w:r>
              <w:t>Ziņojums netiek papildināts</w:t>
            </w:r>
          </w:p>
        </w:tc>
        <w:tc>
          <w:tcPr>
            <w:tcW w:w="4111" w:type="dxa"/>
          </w:tcPr>
          <w:p w14:paraId="5101D7C0" w14:textId="2DA43BC9" w:rsidR="00E1020E" w:rsidRDefault="0025632F">
            <w:r>
              <w:t>Šobrīd nav spēkā esošas aizsargjoslas vai citi ierobežojumi</w:t>
            </w:r>
            <w:r w:rsidR="007C4B07">
              <w:t xml:space="preserve">, kas skar </w:t>
            </w:r>
            <w:r w:rsidR="00974D66">
              <w:t xml:space="preserve">Paredzētās darbības teritoriju </w:t>
            </w:r>
            <w:r w:rsidR="007C4B07">
              <w:t>derīgo izrakteņu atradni Vālodzes un</w:t>
            </w:r>
            <w:r w:rsidR="00974D66">
              <w:t>/vai</w:t>
            </w:r>
            <w:r w:rsidR="007C4B07">
              <w:t xml:space="preserve"> ierobežo </w:t>
            </w:r>
            <w:r>
              <w:t>derīgo izrakteņu ieguvi atradnē Vālodzes.</w:t>
            </w:r>
          </w:p>
        </w:tc>
      </w:tr>
      <w:tr w:rsidR="00E1020E" w14:paraId="3F3D4A6A" w14:textId="77777777" w:rsidTr="001A4A74">
        <w:tc>
          <w:tcPr>
            <w:tcW w:w="988" w:type="dxa"/>
          </w:tcPr>
          <w:p w14:paraId="0933A010" w14:textId="7FA02A79" w:rsidR="00E1020E" w:rsidRDefault="001A4A74">
            <w:r>
              <w:t>5.</w:t>
            </w:r>
          </w:p>
        </w:tc>
        <w:tc>
          <w:tcPr>
            <w:tcW w:w="5528" w:type="dxa"/>
          </w:tcPr>
          <w:p w14:paraId="1C902D9A" w14:textId="653B022E" w:rsidR="00E1020E" w:rsidRDefault="00B6036A">
            <w:r w:rsidRPr="00B6036A">
              <w:t>Ņemot vērā, ka būtiskākās Paredzētās darbības ietekmes (troksnis, emisijas gaisā, hidroloģiskā režīma maiņa) tiek radītas uz dzīvojamo māju teritorijām, Ziņojums papildināms ar uzskatāmu kartogrāfisko materiālu par dzīvojamo māju izvietojumu potenciālās ietekmes zonā. Ziņojums papildināms ar informāciju par ūdensapgādes risinājumiem ietekmētajās teritorijās (Programmas IV daļas 2.4.3. punkts).</w:t>
            </w:r>
          </w:p>
        </w:tc>
        <w:tc>
          <w:tcPr>
            <w:tcW w:w="3118" w:type="dxa"/>
          </w:tcPr>
          <w:p w14:paraId="623231BA" w14:textId="5E5B81F9" w:rsidR="00E1020E" w:rsidRDefault="007C4B07">
            <w:r>
              <w:t xml:space="preserve">Ņemts vērā, papildināta IVN Ziņojuma sadaļa </w:t>
            </w:r>
            <w:r w:rsidRPr="007C4B07">
              <w:t>5.3.</w:t>
            </w:r>
            <w:r w:rsidRPr="007C4B07">
              <w:tab/>
              <w:t>Tuvākās dzīvojamās ēkas un lauku saimniecības</w:t>
            </w:r>
          </w:p>
        </w:tc>
        <w:tc>
          <w:tcPr>
            <w:tcW w:w="4111" w:type="dxa"/>
          </w:tcPr>
          <w:p w14:paraId="3AAAA308" w14:textId="23BF6FEC" w:rsidR="00E1020E" w:rsidRDefault="00961E6C">
            <w:r>
              <w:t xml:space="preserve">Ņemot vērā to, ka 1.alternatīvajā variantā ieguve plānota virs gruntsūdens līmeņa un tās īstenošanas gadījumā netiek ietekmētas ūdensapgādes iespējas Atradnei piegulošajās teritorijās. Īstenojot 2.alternatīvo variantu ieguve plānota zem gruntsūdens līmeņa nelielā platībā atradnes ziemeļu daļā, ieguvi veicot bez gruntsūdens līmeņa pazemināšanas, tādējādi </w:t>
            </w:r>
            <w:r w:rsidRPr="00961E6C">
              <w:t>netiek ietekmētas ūdensapgādes iespējas Atradnei piegulošajās teritorijās.</w:t>
            </w:r>
          </w:p>
        </w:tc>
      </w:tr>
      <w:tr w:rsidR="00E1020E" w14:paraId="1D333381" w14:textId="77777777" w:rsidTr="001A4A74">
        <w:tc>
          <w:tcPr>
            <w:tcW w:w="988" w:type="dxa"/>
          </w:tcPr>
          <w:p w14:paraId="2D5C9C8D" w14:textId="6C2AAA0B" w:rsidR="00E1020E" w:rsidRDefault="001A4A74">
            <w:r>
              <w:t>6.</w:t>
            </w:r>
          </w:p>
        </w:tc>
        <w:tc>
          <w:tcPr>
            <w:tcW w:w="5528" w:type="dxa"/>
          </w:tcPr>
          <w:p w14:paraId="54EE911B" w14:textId="79EF0467" w:rsidR="00E1020E" w:rsidRDefault="00B6036A">
            <w:r w:rsidRPr="00B6036A">
              <w:t xml:space="preserve">No Ziņojumā sniegtā novērtējuma izriet, ka, realizējot derīgo izrakteņu ieguvi zem gruntsūdens līmeņa un daļu ieguves vietas </w:t>
            </w:r>
            <w:proofErr w:type="spellStart"/>
            <w:r w:rsidRPr="00B6036A">
              <w:t>rekultivējot</w:t>
            </w:r>
            <w:proofErr w:type="spellEnd"/>
            <w:r w:rsidRPr="00B6036A">
              <w:t xml:space="preserve"> par nelielu ūdenstilpi, ietekme uz apkārtējās teritorijas hidroloģiskajiem un hidroģeoloģiskajiem apstākļiem būs lokāla un prognozējami </w:t>
            </w:r>
            <w:r w:rsidRPr="00B6036A">
              <w:lastRenderedPageBreak/>
              <w:t xml:space="preserve">nepārsniegs ~50 m rādiusu. Lai arī no Ziņojumā sniegtās informācijas izriet, ka platība, kurā varētu notikt ieguve zem gruntsūdens līmeņa un pēc tam veidoties ūdenstilpe, ir neliela, tomēr Ziņojumā nav prognozēts ne potenciālās ūdenstilpes lielums, ne veikti aprēķini vai literatūras avotos balstīti secinājumi, kas ļautu novērtēt Ziņojuma izdarīto secinājumu par prognozēto ietekmes rādiusu no karjerā izveidojušās ūdenstilpes. Savukārt prognozētā ietekmes zona nav attēlota kartogrāfiskajā materiālā (Programmas IV daļas 3.2.3. punkts). Birojs lūdz papildināt Ziņojumu ar aprēķinu ceļā iegūtu rezultātu vai izdarīt literatūrā balstītus secinājumus par prognozēto ietekmes rādiusu sagaidāmajām gruntsūdens līmeņa izmaiņām pēc </w:t>
            </w:r>
            <w:proofErr w:type="spellStart"/>
            <w:r w:rsidRPr="00B6036A">
              <w:t>karjerdīķa</w:t>
            </w:r>
            <w:proofErr w:type="spellEnd"/>
            <w:r w:rsidRPr="00B6036A">
              <w:t xml:space="preserve"> izveides un/ vai Atradnes daļu </w:t>
            </w:r>
            <w:proofErr w:type="spellStart"/>
            <w:r w:rsidRPr="00B6036A">
              <w:t>rekultivējot</w:t>
            </w:r>
            <w:proofErr w:type="spellEnd"/>
            <w:r w:rsidRPr="00B6036A">
              <w:t xml:space="preserve"> par ūdenstilpi; sniegt vērtējumu, vai sagaidāma summāra ietekme uz gruntsūdens līmeņa izmaiņām no Paredzētās darbības un apkārtnē esošajām ieguves vietām, kurās tiek veikta ieguve zem gruntsūdens līmeņa.</w:t>
            </w:r>
          </w:p>
        </w:tc>
        <w:tc>
          <w:tcPr>
            <w:tcW w:w="3118" w:type="dxa"/>
          </w:tcPr>
          <w:p w14:paraId="745883D9" w14:textId="77777777" w:rsidR="00437562" w:rsidRDefault="00E64A95">
            <w:r>
              <w:lastRenderedPageBreak/>
              <w:t xml:space="preserve">Ņemts vērā. Pilnveidota IVN Ziņojuma </w:t>
            </w:r>
            <w:r w:rsidR="000303FA">
              <w:t>sadaļa</w:t>
            </w:r>
            <w:r w:rsidR="00A347F2">
              <w:t>s</w:t>
            </w:r>
            <w:r w:rsidR="00437562">
              <w:t>:</w:t>
            </w:r>
          </w:p>
          <w:p w14:paraId="27300932" w14:textId="77777777" w:rsidR="00437562" w:rsidRDefault="000303FA">
            <w:r>
              <w:t xml:space="preserve"> </w:t>
            </w:r>
            <w:r w:rsidRPr="000303FA">
              <w:t>4.5.Derīgā izrakteņa ieguves un apstrādes tehnoloģijas</w:t>
            </w:r>
            <w:r>
              <w:t>,</w:t>
            </w:r>
            <w:r w:rsidR="00A347F2">
              <w:t xml:space="preserve"> </w:t>
            </w:r>
          </w:p>
          <w:p w14:paraId="67FFC1FE" w14:textId="77777777" w:rsidR="00437562" w:rsidRDefault="007503D3">
            <w:r w:rsidRPr="007503D3">
              <w:lastRenderedPageBreak/>
              <w:t>4.7.Alternatīvie tehnoloģiskie</w:t>
            </w:r>
            <w:r>
              <w:t xml:space="preserve"> r</w:t>
            </w:r>
            <w:r w:rsidRPr="007503D3">
              <w:t>isinājumi</w:t>
            </w:r>
            <w:r>
              <w:t xml:space="preserve"> </w:t>
            </w:r>
          </w:p>
          <w:p w14:paraId="0979F172" w14:textId="77777777" w:rsidR="00437562" w:rsidRDefault="00A347F2">
            <w:r w:rsidRPr="00A347F2">
              <w:t>4.8.Teritorijas rekultivācija pēc ieguves darbu pabeigšanas</w:t>
            </w:r>
            <w:r w:rsidR="00437562">
              <w:t>,</w:t>
            </w:r>
          </w:p>
          <w:p w14:paraId="25A1316B" w14:textId="77777777" w:rsidR="00437562" w:rsidRDefault="00437562">
            <w:r>
              <w:t xml:space="preserve"> </w:t>
            </w:r>
            <w:r w:rsidRPr="00437562">
              <w:t>5.10.Teritorijas</w:t>
            </w:r>
            <w:r>
              <w:t xml:space="preserve"> </w:t>
            </w:r>
            <w:r w:rsidRPr="00437562">
              <w:t>hidroģeoloģiskais raksturojums</w:t>
            </w:r>
            <w:r>
              <w:t>,</w:t>
            </w:r>
            <w:r w:rsidRPr="00437562">
              <w:t xml:space="preserve"> </w:t>
            </w:r>
            <w:r w:rsidR="000303FA">
              <w:t xml:space="preserve"> </w:t>
            </w:r>
          </w:p>
          <w:p w14:paraId="573CC9D3" w14:textId="77777777" w:rsidR="00437562" w:rsidRDefault="00437562">
            <w:r w:rsidRPr="00437562">
              <w:t>5.11.Tuvākās ūdens ņemšanas vietas</w:t>
            </w:r>
          </w:p>
          <w:p w14:paraId="75220F47" w14:textId="77777777" w:rsidR="00E1020E" w:rsidRDefault="00E64A95">
            <w:r>
              <w:t>8. ietekmes uz pieguļošo teritoriju hidroģeoloģiskajiem apstākļiem novērtējums</w:t>
            </w:r>
            <w:r w:rsidR="006A2054">
              <w:t>;</w:t>
            </w:r>
          </w:p>
          <w:p w14:paraId="5F41A860" w14:textId="2EA38B4B" w:rsidR="006A2054" w:rsidRDefault="006A2054">
            <w:r>
              <w:t>16.Paredzētās darbības alternatīvu izvērtējums, izvēlētā varianta pamatojums un paliekošo ietekmju būtiskuma raksturojums.</w:t>
            </w:r>
          </w:p>
        </w:tc>
        <w:tc>
          <w:tcPr>
            <w:tcW w:w="4111" w:type="dxa"/>
          </w:tcPr>
          <w:p w14:paraId="537A2B12" w14:textId="77777777" w:rsidR="007C4B07" w:rsidRDefault="007C4B07" w:rsidP="00B50251"/>
          <w:p w14:paraId="125BE115" w14:textId="77777777" w:rsidR="007C4B07" w:rsidRDefault="007C4B07" w:rsidP="00B50251"/>
          <w:p w14:paraId="6A60036C" w14:textId="77777777" w:rsidR="007C4B07" w:rsidRDefault="007C4B07" w:rsidP="00B50251"/>
          <w:p w14:paraId="74E55678" w14:textId="63296DDF" w:rsidR="00E1020E" w:rsidRDefault="00E1020E" w:rsidP="00B50251"/>
        </w:tc>
      </w:tr>
      <w:tr w:rsidR="00E1020E" w14:paraId="5DF535A1" w14:textId="77777777" w:rsidTr="001A4A74">
        <w:tc>
          <w:tcPr>
            <w:tcW w:w="988" w:type="dxa"/>
          </w:tcPr>
          <w:p w14:paraId="504BA3B8" w14:textId="5C2C5586" w:rsidR="00E1020E" w:rsidRDefault="001A4A74">
            <w:r>
              <w:t>7.</w:t>
            </w:r>
          </w:p>
        </w:tc>
        <w:tc>
          <w:tcPr>
            <w:tcW w:w="5528" w:type="dxa"/>
          </w:tcPr>
          <w:p w14:paraId="00D4AB1B" w14:textId="6944DAA2" w:rsidR="00E1020E" w:rsidRDefault="00B6036A">
            <w:r w:rsidRPr="00B6036A">
              <w:t xml:space="preserve">Izvērtējis Birojā saņemtajā DAP 2024. gada 7. jūnija vēstulē Nr. 4.9/3533/2024-N sniegto viedokli par Ziņojuma redakciju, kas tika nodota sabiedriskajai apspriešanai, Birojs secina, ka Ziņojuma 12. nodaļa joprojām nav papildināta ar ornitoloģijas eksperta </w:t>
            </w:r>
            <w:r w:rsidR="006A2054" w:rsidRPr="00B6036A">
              <w:t>atzinumā</w:t>
            </w:r>
            <w:r w:rsidRPr="00B6036A">
              <w:t xml:space="preserve"> (Ziņojuma 8. pielikums) sniegto ietekmes uz putniem mazināšanas pasākumu </w:t>
            </w:r>
            <w:bookmarkStart w:id="1" w:name="_Hlk188356467"/>
            <w:r w:rsidRPr="00B6036A">
              <w:t xml:space="preserve">- </w:t>
            </w:r>
            <w:r w:rsidRPr="00B6036A">
              <w:lastRenderedPageBreak/>
              <w:t>atmežošanas, apauguma/veģetācijas, zemes virskārtas novākšanas darbi veicami laika posmā no 1. jūlija līdz 31. martam</w:t>
            </w:r>
            <w:bookmarkEnd w:id="1"/>
            <w:r w:rsidRPr="00B6036A">
              <w:t>, kā to norādījusi DAP. Ziņojums attiecīgi papildināms.</w:t>
            </w:r>
          </w:p>
        </w:tc>
        <w:tc>
          <w:tcPr>
            <w:tcW w:w="3118" w:type="dxa"/>
          </w:tcPr>
          <w:p w14:paraId="32CA74D4" w14:textId="77777777" w:rsidR="00E1020E" w:rsidRDefault="006A2054">
            <w:r>
              <w:lastRenderedPageBreak/>
              <w:t xml:space="preserve">Ņemts vērā. </w:t>
            </w:r>
          </w:p>
          <w:p w14:paraId="79B4D571" w14:textId="15FD9028" w:rsidR="006A2054" w:rsidRDefault="006A2054">
            <w:r>
              <w:t>Papildināta sadaļa 12. Paredzētie pasākumi ietekmju uz vidi mazināšanai</w:t>
            </w:r>
          </w:p>
        </w:tc>
        <w:tc>
          <w:tcPr>
            <w:tcW w:w="4111" w:type="dxa"/>
          </w:tcPr>
          <w:p w14:paraId="296D3774" w14:textId="77777777" w:rsidR="00E1020E" w:rsidRDefault="00E1020E"/>
        </w:tc>
      </w:tr>
      <w:tr w:rsidR="00B6036A" w14:paraId="2745689C" w14:textId="77777777" w:rsidTr="001A4A74">
        <w:tc>
          <w:tcPr>
            <w:tcW w:w="988" w:type="dxa"/>
          </w:tcPr>
          <w:p w14:paraId="333E164C" w14:textId="1F843E06" w:rsidR="00B6036A" w:rsidRDefault="001A4A74">
            <w:r>
              <w:t>8.</w:t>
            </w:r>
          </w:p>
        </w:tc>
        <w:tc>
          <w:tcPr>
            <w:tcW w:w="5528" w:type="dxa"/>
          </w:tcPr>
          <w:p w14:paraId="6FEA3FCB" w14:textId="23EAE8C9" w:rsidR="00B6036A" w:rsidRDefault="00B6036A">
            <w:r w:rsidRPr="00B6036A">
              <w:t>Tāpat Birojs vērš uzmanību, ka, lai arī ornitoloģijas eksperta atzinumā (Ziņojuma 8. pielikums) sniegts vērtējums par Paredzētās darbības iespējamo ietekmi uz apkārtnes ornitofaunu, daļa minētā vērtējuma ir iekļauta Ziņojuma 5.12. nodaļā Paredzētās darbības un tai piegulošo teritoriju dabas vērtības un tuvākās Latvijas „NATURA 2000” Eiropas nozīmes aizsargājamās dabas teritorijas, tomēr ietekme novērtējums nav iekļauts Ziņojuma attiecīgajā, 9. nodaļā Iespējamās ietekmes (arī hidroģeoloģisko faktoru) izvērtējums uz dabas vērtībām. Ziņojums attiecīgi papildināms.</w:t>
            </w:r>
          </w:p>
        </w:tc>
        <w:tc>
          <w:tcPr>
            <w:tcW w:w="3118" w:type="dxa"/>
          </w:tcPr>
          <w:p w14:paraId="089E34F4" w14:textId="5166FE48" w:rsidR="00B6036A" w:rsidRDefault="007E720D">
            <w:r>
              <w:t xml:space="preserve">Ņemts vērā. </w:t>
            </w:r>
            <w:r w:rsidR="0083350D">
              <w:t>Pilnveidota sadaļa 9. Iespējamās ietekmes (arī hidroģeoloģisko faktoru) izvērtējums uz dabas vērtībām.</w:t>
            </w:r>
          </w:p>
        </w:tc>
        <w:tc>
          <w:tcPr>
            <w:tcW w:w="4111" w:type="dxa"/>
          </w:tcPr>
          <w:p w14:paraId="38621ED3" w14:textId="77777777" w:rsidR="00B6036A" w:rsidRDefault="00B6036A"/>
        </w:tc>
      </w:tr>
      <w:tr w:rsidR="00B6036A" w14:paraId="0F8D1FE6" w14:textId="77777777" w:rsidTr="001A4A74">
        <w:tc>
          <w:tcPr>
            <w:tcW w:w="988" w:type="dxa"/>
          </w:tcPr>
          <w:p w14:paraId="2CCAE7FD" w14:textId="0F6C9679" w:rsidR="00B6036A" w:rsidRDefault="001A4A74">
            <w:r>
              <w:t>9.</w:t>
            </w:r>
          </w:p>
        </w:tc>
        <w:tc>
          <w:tcPr>
            <w:tcW w:w="5528" w:type="dxa"/>
          </w:tcPr>
          <w:p w14:paraId="2F659DE8" w14:textId="38DED944" w:rsidR="00B6036A" w:rsidRDefault="00B6036A" w:rsidP="00B6036A">
            <w:r>
              <w:t>Birojs secina, ka trokšņa ietekme uz Darbības vietai tuvāko apkārtni ir vērtēta Ziņojumam pievienotajā 6. pielikumā (turpmāk – Trokšņa novērtējums ), tomēr nepieciešams skaidrojums vai labojumi par turpmāk norādīto:</w:t>
            </w:r>
          </w:p>
          <w:p w14:paraId="68679E0D" w14:textId="77777777" w:rsidR="00B6036A" w:rsidRDefault="00B6036A" w:rsidP="00B6036A">
            <w:r>
              <w:t>9.1.</w:t>
            </w:r>
            <w:r>
              <w:tab/>
              <w:t xml:space="preserve">Ziņojumā vērtējot Paredzētās darbības radītā trokšņa ietekmi izmantota pieeja, kura bija spēkā līdz 2019. gada 9. jūlijam. Aktuālās Ministru kabineta 2014. gada 7. janvāra noteikumu Nr. 16 “Trokšņa novērtēšanas un pārvaldības kārtība” (turpmāk – Noteikumi Nr. 16) redakcijas 1. pielikuma 6.1. punkts nosaka, ka rūpnieciskās </w:t>
            </w:r>
            <w:r>
              <w:lastRenderedPageBreak/>
              <w:t>darbības radītā trokšņa novērtēšanai izmanto Noteikumu Nr. 16 5. pielikuma 2.1. sadaļā "Vispārīgi noteikumi – ceļu satiksmes, sliežu ceļu un rūpnieciskais troksnis", 2.4. sadaļā "Rūpnieciskais troksnis", 2.5. sadaļā "Aprēķins: trokšņa izplatīšanās no ceļu satiksmes, sliežu ceļu satiksmes un rūpnieciskajiem avotiem" attiecībā uz rūpnieciskajiem avotiem un 2.8. sadaļā "Trokšņa līmeņi un iedzīvotāju skaits ēkās" norādītās metodes . Trokšņa ietekmes novērtējums sagatavojams atbilstoši spēkā esošajām prasībām attiecībā uz metožu izmantošanu.</w:t>
            </w:r>
          </w:p>
          <w:p w14:paraId="6A275194" w14:textId="77777777" w:rsidR="00B6036A" w:rsidRDefault="00B6036A" w:rsidP="00B6036A">
            <w:r>
              <w:t>9.2.</w:t>
            </w:r>
            <w:r>
              <w:tab/>
              <w:t xml:space="preserve">Birojs vērš Izstrādātājas uzmanību uz apstākli, ka saskaņā ar Noteikumu Nr. 16 grozījumiem, kuri stājās spēkā ar 2023. gada 3. novembrī, satiksmes vides trokšņa robežlielumi tiek piemēroti neatkarīgi no apbūves teritorijas izmantošanas funkcijas, savukārt rūpniecisko objektu (derīgā izrakteņa ieguve un apstrāde) vides trokšņa robežlielumi tiek piemēroti atbilstoši apbūves teritorijas izmantošanas funkcijai. Trokšņa novērtējumā jāveic gan satiksmes, gan rūpniecisko avotu radītās ietekmes novērtējums. </w:t>
            </w:r>
          </w:p>
          <w:p w14:paraId="01719A73" w14:textId="77777777" w:rsidR="00B6036A" w:rsidRDefault="00B6036A" w:rsidP="00B6036A">
            <w:r>
              <w:t>9.3.</w:t>
            </w:r>
            <w:r>
              <w:tab/>
              <w:t xml:space="preserve">Birojs norāda, ka Ziņojumā vērtējama (arī attiecībā uz emisijām gaisā) viena gada laikā apgūstama ieguves laukuma platība. Vērtējuma </w:t>
            </w:r>
            <w:proofErr w:type="spellStart"/>
            <w:r>
              <w:t>nolūkamos</w:t>
            </w:r>
            <w:proofErr w:type="spellEnd"/>
            <w:r>
              <w:t xml:space="preserve"> jāizvēlas tāda laukuma novietojuma pozīcija, kura atbilst sliktākajai iespējamai </w:t>
            </w:r>
            <w:r>
              <w:lastRenderedPageBreak/>
              <w:t xml:space="preserve">situācijai, proti, trokšņa avoti novietoti jutīgo teritoriju (dzīvojamo māju) tuvumā. </w:t>
            </w:r>
          </w:p>
          <w:p w14:paraId="7E3ECEAB" w14:textId="77777777" w:rsidR="00B6036A" w:rsidRDefault="00B6036A" w:rsidP="00B6036A">
            <w:r>
              <w:t>9.4.</w:t>
            </w:r>
            <w:r>
              <w:tab/>
              <w:t>Vērtējumā īpaša vērība pievēršama derīgā izrakteņa galvenajiem transportēšanas maršrutiem, ņemot vērā satiksmes intensitāti arī no citām, blakus esošām, derīgo izrakteņu ieguves vietām (skat. arī Programmas II daļas 3.1. punktu un IV daļas 2.3.6. punktu).</w:t>
            </w:r>
          </w:p>
          <w:p w14:paraId="4A8B6C5C" w14:textId="77777777" w:rsidR="00B6036A" w:rsidRDefault="00B6036A" w:rsidP="00B6036A">
            <w:r>
              <w:t>9.5.</w:t>
            </w:r>
            <w:r>
              <w:tab/>
              <w:t>Pārstrādātajā trokšņa ietekmes vērtējumā definējami trokšņa avotu veidi (</w:t>
            </w:r>
            <w:proofErr w:type="spellStart"/>
            <w:r>
              <w:t>punktveida</w:t>
            </w:r>
            <w:proofErr w:type="spellEnd"/>
            <w:r>
              <w:t xml:space="preserve">, </w:t>
            </w:r>
            <w:proofErr w:type="spellStart"/>
            <w:r>
              <w:t>līnijveida</w:t>
            </w:r>
            <w:proofErr w:type="spellEnd"/>
            <w:r>
              <w:t xml:space="preserve">, </w:t>
            </w:r>
            <w:proofErr w:type="spellStart"/>
            <w:r>
              <w:t>laukumveida</w:t>
            </w:r>
            <w:proofErr w:type="spellEnd"/>
            <w:r>
              <w:t xml:space="preserve">, </w:t>
            </w:r>
            <w:proofErr w:type="spellStart"/>
            <w:r>
              <w:t>tilpumveida</w:t>
            </w:r>
            <w:proofErr w:type="spellEnd"/>
            <w:r>
              <w:t>, autoceļš u.t.t.), norādāmi avotu raksturlielumi (piemēram, avota dimensijas, darbības laiks, radītais skaņas līmenis u.c.). Ja vienā avotā tiek apvienoti vairāki individuāli trokšņa avoti un vērtējuma parametri noteikti izmantojot aprēķinus (piemēram, derīgā izrakteņa apstrādes un/vai ieguves laukumā esošo iekārtu radītais summārais troksnis), norāda informāciju un aprēķina piemēru par veiktajiem aprēķiniem tādā apmērā, kas ir pietiekams atkārtota aprēķina veikšanai.</w:t>
            </w:r>
          </w:p>
          <w:p w14:paraId="61C8DC90" w14:textId="77777777" w:rsidR="00B6036A" w:rsidRDefault="00B6036A" w:rsidP="00B6036A">
            <w:r>
              <w:t>9.6.</w:t>
            </w:r>
            <w:r>
              <w:tab/>
              <w:t xml:space="preserve">Pārskatāmības nolūkos Ziņojumam pievienojama tabula, kurā apkopoti trokšņa novērtēšanas rezultātā iegūtās trokšņa vērtības dzīvojamo māju teritorijās katrā no vērtētajām situācijām (fons, paredzētā darbība, summārā ietekme) un katrai no vērtētajām trokšņa avotu </w:t>
            </w:r>
            <w:r>
              <w:lastRenderedPageBreak/>
              <w:t xml:space="preserve">izvietojuma pozīcijām, ja tiek vērtēti atšķirīgi risinājumi. </w:t>
            </w:r>
          </w:p>
          <w:p w14:paraId="71C263AA" w14:textId="77777777" w:rsidR="00B6036A" w:rsidRDefault="00B6036A" w:rsidP="00B6036A">
            <w:r>
              <w:t>9.7.</w:t>
            </w:r>
            <w:r>
              <w:tab/>
              <w:t xml:space="preserve">Ņemot vērā, ka atbilstoši Noteikumos Nr. 16 noteiktajam ceļu aizsargjoslās satiksmes vides trokšņa robežlielumi uzskatāmi par </w:t>
            </w:r>
            <w:proofErr w:type="spellStart"/>
            <w:r>
              <w:t>mērķlielumiem</w:t>
            </w:r>
            <w:proofErr w:type="spellEnd"/>
            <w:r>
              <w:t>, Ziņojums papildināms ar informāciju, kuras no vērtētajām dzīvojamajām mājām atrodas autoceļu aizsargjoslā.</w:t>
            </w:r>
          </w:p>
          <w:p w14:paraId="7F329B0A" w14:textId="49766B6A" w:rsidR="00B6036A" w:rsidRDefault="00B6036A" w:rsidP="00B6036A">
            <w:r>
              <w:t>9.8.</w:t>
            </w:r>
            <w:r>
              <w:tab/>
              <w:t>Ziņojumā sniedzams skaidrojums, kā ir ņemta vērā pie teritorijas Z robežas izvietotā kokapstrādes uzņēmuma radītā trokšņa ietekme.</w:t>
            </w:r>
          </w:p>
        </w:tc>
        <w:tc>
          <w:tcPr>
            <w:tcW w:w="3118" w:type="dxa"/>
          </w:tcPr>
          <w:p w14:paraId="4D061521" w14:textId="760F1DC7" w:rsidR="0038041A" w:rsidRDefault="00E0045D" w:rsidP="0038041A">
            <w:r>
              <w:lastRenderedPageBreak/>
              <w:t xml:space="preserve">Pārstrādāts </w:t>
            </w:r>
            <w:r w:rsidRPr="00E0045D">
              <w:t>Trokšņa izplatības novērtējums prognozētās saimnieciskās darbības rezultātā  atradnē “Vālodzes” Raunas pagastā, Smiltenes novadā</w:t>
            </w:r>
          </w:p>
          <w:p w14:paraId="0A01B8BB" w14:textId="77777777" w:rsidR="00E0045D" w:rsidRDefault="00E0045D" w:rsidP="0038041A"/>
          <w:p w14:paraId="7D656C00" w14:textId="0C0A80F4" w:rsidR="0038041A" w:rsidRDefault="0038041A" w:rsidP="0038041A">
            <w:r>
              <w:t xml:space="preserve">9.1. Ziņojums papildināts, iepriekš izmantotais standarts pēc būtības ir iekļauts MK Noteikumos Nr. 16, 1. Pielikumā. Tagad </w:t>
            </w:r>
            <w:r>
              <w:lastRenderedPageBreak/>
              <w:t>ziņojumā sniegtas atsauces uz Latvijas likumdošanā iekļautām prasībām.</w:t>
            </w:r>
          </w:p>
          <w:p w14:paraId="36ED341C" w14:textId="77777777" w:rsidR="0038041A" w:rsidRDefault="0038041A" w:rsidP="0038041A"/>
          <w:p w14:paraId="44F4F69B" w14:textId="77777777" w:rsidR="0038041A" w:rsidRDefault="0038041A" w:rsidP="0038041A"/>
          <w:p w14:paraId="04A56963" w14:textId="77777777" w:rsidR="0038041A" w:rsidRDefault="0038041A" w:rsidP="0038041A">
            <w:r>
              <w:t xml:space="preserve">9.2. Papildināts ar transportam noteiktiem </w:t>
            </w:r>
            <w:proofErr w:type="spellStart"/>
            <w:r>
              <w:t>mērķlielumiem</w:t>
            </w:r>
            <w:proofErr w:type="spellEnd"/>
            <w:r>
              <w:t>.</w:t>
            </w:r>
          </w:p>
          <w:p w14:paraId="58C89C9B" w14:textId="77777777" w:rsidR="0038041A" w:rsidRDefault="0038041A" w:rsidP="0038041A"/>
          <w:p w14:paraId="232CD581" w14:textId="77777777" w:rsidR="0038041A" w:rsidRDefault="0038041A" w:rsidP="0038041A"/>
          <w:p w14:paraId="0A077E9F" w14:textId="56076C25" w:rsidR="0038041A" w:rsidRDefault="0038041A" w:rsidP="0038041A">
            <w:r>
              <w:t>9.3. Novērtējums veikts situācijai, kad atradnē vienlaikus darbojas maksimāli iespējamais iekārtu skaits, to izvietojums – iespējami nelabvēl</w:t>
            </w:r>
            <w:r w:rsidR="00961E6C">
              <w:t>ī</w:t>
            </w:r>
            <w:r>
              <w:t>gākais: vistuvāk ārējai robežai, tuvāk viensētām, bet ņemot vērā tehnoloģiski noteiktos fiziskos attālumus kādos iekārtas iespējams darbināt.</w:t>
            </w:r>
          </w:p>
          <w:p w14:paraId="5C915B8C" w14:textId="77777777" w:rsidR="0038041A" w:rsidRDefault="0038041A" w:rsidP="0038041A"/>
          <w:p w14:paraId="4F71F621" w14:textId="77777777" w:rsidR="0038041A" w:rsidRDefault="0038041A" w:rsidP="0038041A">
            <w:r>
              <w:t xml:space="preserve">9.4. Ņemts vērā, gan uzņēmuma teritorijā (vienlaikus transportēšana tiek veikta ar 3 vienībām), </w:t>
            </w:r>
            <w:r>
              <w:lastRenderedPageBreak/>
              <w:t>gan ārpus tās uz autoceļiem V297, V187, P28.</w:t>
            </w:r>
          </w:p>
          <w:p w14:paraId="61FC3BE2" w14:textId="77777777" w:rsidR="0038041A" w:rsidRDefault="0038041A" w:rsidP="0038041A"/>
          <w:p w14:paraId="24923C86" w14:textId="77777777" w:rsidR="0038041A" w:rsidRDefault="0038041A" w:rsidP="0038041A">
            <w:r>
              <w:t>9.5. Ņemts vērā, iekļauts ziņojumā.</w:t>
            </w:r>
          </w:p>
          <w:p w14:paraId="192897FB" w14:textId="77777777" w:rsidR="0038041A" w:rsidRDefault="0038041A" w:rsidP="0038041A"/>
          <w:p w14:paraId="455B2D9C" w14:textId="77777777" w:rsidR="0038041A" w:rsidRDefault="0038041A" w:rsidP="0038041A">
            <w:r>
              <w:t>9.6. Ņemts vērā, iekļauts ziņojumā.</w:t>
            </w:r>
          </w:p>
          <w:p w14:paraId="55F180B4" w14:textId="77777777" w:rsidR="0038041A" w:rsidRDefault="0038041A" w:rsidP="0038041A"/>
          <w:p w14:paraId="2CE35AB9" w14:textId="77777777" w:rsidR="0038041A" w:rsidRDefault="0038041A" w:rsidP="0038041A">
            <w:r>
              <w:t>9.7. Ņemts vērā, iekļauts ziņojumā.</w:t>
            </w:r>
          </w:p>
          <w:p w14:paraId="291C432D" w14:textId="77777777" w:rsidR="0038041A" w:rsidRDefault="0038041A" w:rsidP="0038041A"/>
          <w:p w14:paraId="5372CF6F" w14:textId="7A99B9BB" w:rsidR="00B6036A" w:rsidRDefault="0038041A" w:rsidP="0038041A">
            <w:r>
              <w:t xml:space="preserve">9.8. </w:t>
            </w:r>
            <w:r w:rsidR="00961E6C" w:rsidRPr="00961E6C">
              <w:t>Ņemts vērā, iekļauts ziņojumā.</w:t>
            </w:r>
          </w:p>
        </w:tc>
        <w:tc>
          <w:tcPr>
            <w:tcW w:w="4111" w:type="dxa"/>
          </w:tcPr>
          <w:p w14:paraId="768CB874" w14:textId="77777777" w:rsidR="00B6036A" w:rsidRDefault="00B6036A"/>
        </w:tc>
      </w:tr>
      <w:tr w:rsidR="00B6036A" w14:paraId="3203139D" w14:textId="77777777" w:rsidTr="001A4A74">
        <w:tc>
          <w:tcPr>
            <w:tcW w:w="988" w:type="dxa"/>
          </w:tcPr>
          <w:p w14:paraId="340D6172" w14:textId="357EFF23" w:rsidR="00B6036A" w:rsidRDefault="001A4A74">
            <w:r>
              <w:lastRenderedPageBreak/>
              <w:t>10.</w:t>
            </w:r>
          </w:p>
        </w:tc>
        <w:tc>
          <w:tcPr>
            <w:tcW w:w="5528" w:type="dxa"/>
          </w:tcPr>
          <w:p w14:paraId="2AA98245" w14:textId="130C1E43" w:rsidR="00B6036A" w:rsidRDefault="00B6036A" w:rsidP="00B6036A">
            <w:r>
              <w:t>Attiecībā uz Paredzētās darbības ietekmes uz gaisa kvalitāti novērtējumu Ziņojuma 5. pielikumā (turpmāk – Emisiju novērtējums ), ņemamas vērā iepriekš norādītās nepilnības, cik tālu tas ietekmē arī emisiju gaisā novērtējumu. Sniedzams skaidrojums vai labojumi par turpmāk norādīto:</w:t>
            </w:r>
          </w:p>
          <w:p w14:paraId="43F75D1E" w14:textId="77777777" w:rsidR="00B6036A" w:rsidRDefault="00B6036A" w:rsidP="00B6036A">
            <w:r>
              <w:t>10.1.</w:t>
            </w:r>
            <w:r>
              <w:tab/>
              <w:t>Emisiju novērtējumā jāņem vērā arī tuvāko atradņu (tās ņemtas vērā Trokšņa novērtējumā) radītā ietekme uz gaisa kvalitāti  (Programmas IV daļas 3.24. u.c. punkti).</w:t>
            </w:r>
          </w:p>
          <w:p w14:paraId="03BC2FC1" w14:textId="77777777" w:rsidR="00B6036A" w:rsidRDefault="00B6036A" w:rsidP="00B6036A">
            <w:r>
              <w:t>10.2.</w:t>
            </w:r>
            <w:r>
              <w:tab/>
              <w:t xml:space="preserve">Novērtējums papildināms ar emisijas avotu raksturojumu (norādot avota tipu, darbības laiku u.c. parametrus, kas raksturo to darbību un tiek izmantoti emisiju izkliedes modelēšanā) un izvietojuma karti. </w:t>
            </w:r>
          </w:p>
          <w:p w14:paraId="6580A925" w14:textId="77777777" w:rsidR="00B6036A" w:rsidRDefault="00B6036A" w:rsidP="00B6036A">
            <w:r>
              <w:t>10.3.</w:t>
            </w:r>
            <w:r>
              <w:tab/>
              <w:t xml:space="preserve">Emisiju novērtējums veicams atbilstoši Ministru kabineta 2013. gada 2. aprīļa noteikumu </w:t>
            </w:r>
            <w:r>
              <w:lastRenderedPageBreak/>
              <w:t>Nr. 182 “Noteikumi par stacionāru piesārņojuma avotu emisijas limita projektu izstrādi” (turpmāk – Noteikumi Nr. 182) un Programmā noteiktajā (Programmas IV daļas 1.6., 3.24. u.c. punkti) detalizācijas pakāpē. Emisiju izkliedes kopsavilkuma tabula sagatavojama atbilstoši Noteikumu Nr. 182 4. pielikuma prasībām. Emisiju izkliedes kartēs norādāms punkts, kurā noteikta emisiju koncentrācijas maksimālā vērtība.</w:t>
            </w:r>
          </w:p>
          <w:p w14:paraId="13E5ECD3" w14:textId="77777777" w:rsidR="00B6036A" w:rsidRDefault="00B6036A" w:rsidP="00B6036A">
            <w:r>
              <w:t>10.4.</w:t>
            </w:r>
            <w:r>
              <w:tab/>
              <w:t xml:space="preserve">Ziņojumā un Emisiju novērtējumā pievienota informācija par iespējamiem atšķirīgiem darbības </w:t>
            </w:r>
            <w:proofErr w:type="spellStart"/>
            <w:r>
              <w:t>intensivitātes</w:t>
            </w:r>
            <w:proofErr w:type="spellEnd"/>
            <w:r>
              <w:t xml:space="preserve"> režīmiem gada griezumā. Precizējams, kādam režīmam atbilst veiktais emisiju (arī trokšņa ietekmes) novērtējums.</w:t>
            </w:r>
          </w:p>
          <w:p w14:paraId="0060104F" w14:textId="76BB2235" w:rsidR="00B6036A" w:rsidRDefault="00B6036A" w:rsidP="00B6036A">
            <w:r>
              <w:t>10.5.</w:t>
            </w:r>
            <w:r>
              <w:tab/>
              <w:t xml:space="preserve">Novērtējumam jāpievieno emisiju izkliedes programmas </w:t>
            </w:r>
            <w:proofErr w:type="spellStart"/>
            <w:r>
              <w:t>ievaddati</w:t>
            </w:r>
            <w:proofErr w:type="spellEnd"/>
            <w:r>
              <w:t>, kā arī vēja raksturlielumu grafisko interpretāciju (vēja roze)</w:t>
            </w:r>
          </w:p>
        </w:tc>
        <w:tc>
          <w:tcPr>
            <w:tcW w:w="3118" w:type="dxa"/>
          </w:tcPr>
          <w:p w14:paraId="4E7AB2FD" w14:textId="2280BD00" w:rsidR="00E0045D" w:rsidRDefault="00E0045D" w:rsidP="0038041A">
            <w:r>
              <w:lastRenderedPageBreak/>
              <w:t xml:space="preserve">Papildināta IVN Ziņojuma sadaļa 6.1. </w:t>
            </w:r>
            <w:r w:rsidRPr="00E0045D">
              <w:t>Prognozētās gaisu piesārņojošo vielu emisijas un izmaiņas gaisa kvalitātē</w:t>
            </w:r>
          </w:p>
          <w:p w14:paraId="08D03EF7" w14:textId="77777777" w:rsidR="00E0045D" w:rsidRDefault="00E0045D" w:rsidP="0038041A"/>
          <w:p w14:paraId="1155F7CF" w14:textId="543177DD" w:rsidR="0038041A" w:rsidRDefault="0038041A" w:rsidP="0038041A">
            <w:r>
              <w:t xml:space="preserve">10.1. </w:t>
            </w:r>
            <w:r w:rsidR="00961E6C">
              <w:t>Ņ</w:t>
            </w:r>
            <w:r>
              <w:t>emts vērā, pieprasot izziņu no LVĢMC norādīts, ka fona piesārņojums novērtēts ņemot vērā visus citus piesārņojuma avotus un objektus, izņemot vērtējamo objektu.</w:t>
            </w:r>
          </w:p>
          <w:p w14:paraId="2A1067FD" w14:textId="77777777" w:rsidR="0038041A" w:rsidRDefault="0038041A" w:rsidP="0038041A"/>
          <w:p w14:paraId="527219B2" w14:textId="77777777" w:rsidR="0038041A" w:rsidRDefault="0038041A" w:rsidP="0038041A">
            <w:r>
              <w:t>10.2. Ņemts vērā, sagatavots un iekļauts ziņojumā.</w:t>
            </w:r>
          </w:p>
          <w:p w14:paraId="7E5091C2" w14:textId="77777777" w:rsidR="0038041A" w:rsidRDefault="0038041A" w:rsidP="0038041A"/>
          <w:p w14:paraId="73F4C658" w14:textId="77777777" w:rsidR="0038041A" w:rsidRDefault="0038041A" w:rsidP="0038041A">
            <w:r>
              <w:t>10.3. Izkliedes aprēķinu rezultātu tabula papildināta ailēm, atbilstoši MK Noteikumu Nr. 182-02.04.2013., 4.Pielikuma formai</w:t>
            </w:r>
          </w:p>
          <w:p w14:paraId="106A1C60" w14:textId="77777777" w:rsidR="0038041A" w:rsidRDefault="0038041A" w:rsidP="0038041A"/>
          <w:p w14:paraId="51CF52D6" w14:textId="77777777" w:rsidR="0038041A" w:rsidRDefault="0038041A" w:rsidP="0038041A">
            <w:r>
              <w:t>10.4. Gan trokšņa, gan gaisa piesārņojuma aprēķini veikti iespējami nelabvēlīgākai situācijai:</w:t>
            </w:r>
          </w:p>
          <w:p w14:paraId="19A9ABEB" w14:textId="77777777" w:rsidR="0038041A" w:rsidRDefault="0038041A" w:rsidP="0038041A">
            <w:r>
              <w:t>-</w:t>
            </w:r>
            <w:r>
              <w:tab/>
              <w:t>Trokšņa izplatības novērtējums veikts situācijai, kad tiek ekspluatētas visas iekārtas, ņemot vērā noslodzes plānu dažādos diennakts periodos; ziņojumā ir iekļauta tabula, kurā precīzi norādīts, kā katra iekārta darbojas, gan sezonāli, gan diennakts periodā;</w:t>
            </w:r>
          </w:p>
          <w:p w14:paraId="1D35177C" w14:textId="77777777" w:rsidR="0038041A" w:rsidRDefault="0038041A" w:rsidP="0038041A">
            <w:r>
              <w:t>-</w:t>
            </w:r>
            <w:r>
              <w:tab/>
              <w:t>Arī atmosfēras piesārņojuma gadījumā detalizēti ņemts vērā darbības plānojums:</w:t>
            </w:r>
          </w:p>
          <w:p w14:paraId="18D2C3F8" w14:textId="77777777" w:rsidR="0038041A" w:rsidRDefault="0038041A" w:rsidP="0038041A">
            <w:r>
              <w:lastRenderedPageBreak/>
              <w:t>o</w:t>
            </w:r>
            <w:r>
              <w:tab/>
              <w:t>tikai darba dienās (maijs-oktobris: 12 h/</w:t>
            </w:r>
            <w:proofErr w:type="spellStart"/>
            <w:r>
              <w:t>dnn</w:t>
            </w:r>
            <w:proofErr w:type="spellEnd"/>
            <w:r>
              <w:t>; pārējā gada laikā: 4-6 h/</w:t>
            </w:r>
            <w:proofErr w:type="spellStart"/>
            <w:r>
              <w:t>dnn</w:t>
            </w:r>
            <w:proofErr w:type="spellEnd"/>
            <w:r>
              <w:t>), 252 dienas gadā;</w:t>
            </w:r>
          </w:p>
          <w:p w14:paraId="68B4C55A" w14:textId="77777777" w:rsidR="0038041A" w:rsidRDefault="0038041A" w:rsidP="0038041A">
            <w:r>
              <w:t>o</w:t>
            </w:r>
            <w:r>
              <w:tab/>
              <w:t>darba laiks: 7:00-19:00.</w:t>
            </w:r>
          </w:p>
          <w:p w14:paraId="7A03F9BD" w14:textId="77777777" w:rsidR="0038041A" w:rsidRDefault="0038041A" w:rsidP="0038041A">
            <w:r>
              <w:t>-</w:t>
            </w:r>
            <w:r>
              <w:tab/>
              <w:t>katras iekārtas radītās emisijas novērtētas ņemot vērā katras iekārtas darba stundas, tas detalizēti aprakstīts paskaidrojošā daļā.</w:t>
            </w:r>
          </w:p>
          <w:p w14:paraId="0590C505" w14:textId="77777777" w:rsidR="0038041A" w:rsidRDefault="0038041A" w:rsidP="0038041A"/>
          <w:p w14:paraId="005E5B87" w14:textId="2881CA6C" w:rsidR="00B6036A" w:rsidRDefault="0038041A" w:rsidP="0038041A">
            <w:r>
              <w:t>10.5. Papildināts ar skaidrojumu un prasīto informāciju</w:t>
            </w:r>
          </w:p>
        </w:tc>
        <w:tc>
          <w:tcPr>
            <w:tcW w:w="4111" w:type="dxa"/>
          </w:tcPr>
          <w:p w14:paraId="3EE9FFB2" w14:textId="77777777" w:rsidR="00B6036A" w:rsidRDefault="00B6036A"/>
        </w:tc>
      </w:tr>
      <w:tr w:rsidR="00B6036A" w14:paraId="28A27D4D" w14:textId="77777777" w:rsidTr="001A4A74">
        <w:tc>
          <w:tcPr>
            <w:tcW w:w="988" w:type="dxa"/>
          </w:tcPr>
          <w:p w14:paraId="3B143897" w14:textId="332F2781" w:rsidR="00B6036A" w:rsidRDefault="001A4A74">
            <w:r>
              <w:lastRenderedPageBreak/>
              <w:t>11.</w:t>
            </w:r>
          </w:p>
        </w:tc>
        <w:tc>
          <w:tcPr>
            <w:tcW w:w="5528" w:type="dxa"/>
          </w:tcPr>
          <w:p w14:paraId="11CBC86F" w14:textId="4C285F61" w:rsidR="00B6036A" w:rsidRDefault="00B6036A">
            <w:r w:rsidRPr="00B6036A">
              <w:t xml:space="preserve">Birojs konstatē, ka Ziņojumam pievienots formāls uz Paredzēto darbību tieši un pastarpināti attiecināmo normatīvo aktu uzskaitījums un to anotācijas. Birojs vērš Ierosinātājas un Izstrādātājas uzmanību uz Programmā norādīto prasību veikt Paredzētās darbības iespējamo ierobežojošo un limitējošo faktoru analīzi (ņemot vērā normatīvajos aktos noteiktos ierobežojumus, balstoties uz veikto novērtējumu par sagaidāmo ietekmi uz vidi un nepieciešamajiem pasākumiem tās novēršanai, samazināšanai u. c.) atbilstoši katrai no vērtētajām ietekmes jomām, nevis veidot </w:t>
            </w:r>
            <w:r w:rsidRPr="00B6036A">
              <w:lastRenderedPageBreak/>
              <w:t>pārskatu par normatīviem, kuri varētu būt attiecināmi uz derīgo izrakteņu ieguvi un ar to saistītajām ietekmēm uz cilvēka veselību un vidi.</w:t>
            </w:r>
          </w:p>
        </w:tc>
        <w:tc>
          <w:tcPr>
            <w:tcW w:w="3118" w:type="dxa"/>
          </w:tcPr>
          <w:p w14:paraId="51D4FA0E" w14:textId="70BFC74B" w:rsidR="00B6036A" w:rsidRDefault="00B244E9">
            <w:r>
              <w:lastRenderedPageBreak/>
              <w:t xml:space="preserve">Ņemts vērā daļēji. </w:t>
            </w:r>
            <w:r w:rsidR="00C3067A">
              <w:t>Pilnveidota Ziņojuma 3.sadaļa</w:t>
            </w:r>
          </w:p>
        </w:tc>
        <w:tc>
          <w:tcPr>
            <w:tcW w:w="4111" w:type="dxa"/>
          </w:tcPr>
          <w:p w14:paraId="487A04E3" w14:textId="3BC5B8B9" w:rsidR="00B244E9" w:rsidRDefault="00B244E9" w:rsidP="00B244E9">
            <w:r>
              <w:t>Normatīvo aktu pārskats sagatavots atbilstoši Ministru kabineta 2015. gada 13. janvāra</w:t>
            </w:r>
          </w:p>
          <w:p w14:paraId="0C1A5169" w14:textId="5C38C80B" w:rsidR="00B244E9" w:rsidRDefault="00B244E9" w:rsidP="00B244E9">
            <w:r>
              <w:t>noteikum</w:t>
            </w:r>
            <w:r w:rsidR="004B4637">
              <w:t>u</w:t>
            </w:r>
            <w:r>
              <w:t xml:space="preserve"> Nr. 18</w:t>
            </w:r>
          </w:p>
          <w:p w14:paraId="68B1CD8F" w14:textId="16995897" w:rsidR="00B244E9" w:rsidRDefault="00B244E9" w:rsidP="00B244E9">
            <w:r w:rsidRPr="00B244E9">
              <w:t>2. pielikum</w:t>
            </w:r>
            <w:r>
              <w:t xml:space="preserve">ā 2.punktā noteiktajam: </w:t>
            </w:r>
          </w:p>
          <w:p w14:paraId="79B404B0" w14:textId="77777777" w:rsidR="00B244E9" w:rsidRPr="00D445B5" w:rsidRDefault="00B244E9" w:rsidP="00B244E9">
            <w:pPr>
              <w:rPr>
                <w:i/>
                <w:iCs/>
              </w:rPr>
            </w:pPr>
            <w:r w:rsidRPr="00D445B5">
              <w:rPr>
                <w:i/>
                <w:iCs/>
              </w:rPr>
              <w:t>Informācija, kas iekļaujama</w:t>
            </w:r>
          </w:p>
          <w:p w14:paraId="0A24C9F4" w14:textId="77777777" w:rsidR="00B244E9" w:rsidRPr="00D445B5" w:rsidRDefault="00B244E9" w:rsidP="00B244E9">
            <w:pPr>
              <w:rPr>
                <w:i/>
                <w:iCs/>
              </w:rPr>
            </w:pPr>
            <w:r w:rsidRPr="00D445B5">
              <w:rPr>
                <w:i/>
                <w:iCs/>
              </w:rPr>
              <w:t>paredzētās darbības ietekmes uz vidi novērtējuma ziņojumā</w:t>
            </w:r>
          </w:p>
          <w:p w14:paraId="1E5B0F52" w14:textId="77777777" w:rsidR="00B244E9" w:rsidRPr="00D445B5" w:rsidRDefault="00B244E9" w:rsidP="00B244E9">
            <w:pPr>
              <w:rPr>
                <w:i/>
                <w:iCs/>
              </w:rPr>
            </w:pPr>
            <w:r w:rsidRPr="00D445B5">
              <w:rPr>
                <w:i/>
                <w:iCs/>
              </w:rPr>
              <w:t xml:space="preserve">2. Paredzētās darbības atbilstības izvērtējums atbilstoši vides, dabas aizsardzības un citiem normatīvajiem </w:t>
            </w:r>
            <w:r w:rsidRPr="00D445B5">
              <w:rPr>
                <w:i/>
                <w:iCs/>
              </w:rPr>
              <w:lastRenderedPageBreak/>
              <w:t>aktiem, kuros ietvertas prasības konkrētajai paredzētajai darbībai.</w:t>
            </w:r>
          </w:p>
          <w:p w14:paraId="69F16ADF" w14:textId="3C4CE8EE" w:rsidR="00B244E9" w:rsidRDefault="00B244E9" w:rsidP="00B244E9">
            <w:r>
              <w:t xml:space="preserve">Sniedzot informāciju par </w:t>
            </w:r>
            <w:r w:rsidR="004B4637">
              <w:t xml:space="preserve">katru </w:t>
            </w:r>
            <w:r>
              <w:t>normatīvo aktu ir vērtēta arī paredzētās darbības un IVN procesa atbilstība to prasībām.</w:t>
            </w:r>
            <w:r w:rsidR="00D445B5">
              <w:t xml:space="preserve"> </w:t>
            </w:r>
            <w:r w:rsidR="00D445B5" w:rsidRPr="00D445B5">
              <w:t>Šajā sadaļā par katru no normatīvajiem aktiem sniegts arī paredzētās darbības atbilstības to prasībām novērtējums. Sadaļā analizēti normatīvie akti, kuri tieši vai netieši regulē paredzētās darbības īstenošanu</w:t>
            </w:r>
            <w:r w:rsidR="004B4637">
              <w:t>.</w:t>
            </w:r>
          </w:p>
          <w:p w14:paraId="6C5956AA" w14:textId="1D35611F" w:rsidR="00B244E9" w:rsidRDefault="00B244E9" w:rsidP="00B244E9">
            <w:r>
              <w:t>Minētajos normatīvajos aktos ietvertās prasības ir ņemtas vērā plānojot paredzēto darbību un izstrādājot tās ietekmes uz vidi novērtējumu,</w:t>
            </w:r>
            <w:r w:rsidR="00961E6C">
              <w:t xml:space="preserve"> tai skaitā vērtējot paredzētās darbības īstenošanas ietekmes,</w:t>
            </w:r>
            <w:r>
              <w:t xml:space="preserve"> kā arī tiks ņemtas vērā izstrādājot derīgo izrakteņu ieguves projektu</w:t>
            </w:r>
            <w:r w:rsidR="00D445B5">
              <w:t xml:space="preserve"> un veicot derīgo izrakteņu ieguvi, apstrādi un transportēšanu, kā arī rekultivācijas darbus</w:t>
            </w:r>
            <w:r>
              <w:t xml:space="preserve">. </w:t>
            </w:r>
          </w:p>
          <w:p w14:paraId="4C4A9A01" w14:textId="77777777" w:rsidR="00B244E9" w:rsidRDefault="00B244E9"/>
          <w:p w14:paraId="56A8FF35" w14:textId="5DEC461C" w:rsidR="008D3FB9" w:rsidRDefault="00D43CD9">
            <w:r>
              <w:t xml:space="preserve">Atbilstoši IVN Programmas prasībām </w:t>
            </w:r>
            <w:r w:rsidR="007E0EA2">
              <w:t xml:space="preserve">IVN </w:t>
            </w:r>
            <w:r>
              <w:t>Ziņojum</w:t>
            </w:r>
            <w:r w:rsidR="007E0EA2">
              <w:t xml:space="preserve">ā ir ietverta </w:t>
            </w:r>
            <w:r>
              <w:t xml:space="preserve"> sadaļ</w:t>
            </w:r>
            <w:r w:rsidR="008D3FB9">
              <w:t>a</w:t>
            </w:r>
            <w:r>
              <w:t xml:space="preserve"> </w:t>
            </w:r>
            <w:r w:rsidR="00F26DD9" w:rsidRPr="00F26DD9">
              <w:t>11.</w:t>
            </w:r>
            <w:r>
              <w:t xml:space="preserve">Paredzētās darbības </w:t>
            </w:r>
            <w:r w:rsidR="000F616C">
              <w:t xml:space="preserve">iespējamo limitējošo faktoru analīze. Iespējamie </w:t>
            </w:r>
            <w:r w:rsidR="000F616C">
              <w:lastRenderedPageBreak/>
              <w:t>ierobežojošie nosacījumi paredzētās dar</w:t>
            </w:r>
            <w:r w:rsidR="007E0EA2">
              <w:t xml:space="preserve">bības veikšanai vai infrastruktūras objektu izbūvei </w:t>
            </w:r>
            <w:r w:rsidR="00F26DD9" w:rsidRPr="00F26DD9">
              <w:tab/>
            </w:r>
          </w:p>
          <w:p w14:paraId="39322846" w14:textId="5C8F2AC0" w:rsidR="00BF1DA7" w:rsidRDefault="00F26DD9" w:rsidP="00BF1DA7">
            <w:r w:rsidRPr="00F26DD9">
              <w:t xml:space="preserve"> </w:t>
            </w:r>
          </w:p>
          <w:p w14:paraId="7289B99C" w14:textId="2BCC7AC5" w:rsidR="00B6036A" w:rsidRDefault="00B6036A" w:rsidP="009E557F"/>
        </w:tc>
      </w:tr>
    </w:tbl>
    <w:p w14:paraId="4D700DB6" w14:textId="77777777" w:rsidR="00E1020E" w:rsidRDefault="00E1020E"/>
    <w:sectPr w:rsidR="00E1020E" w:rsidSect="00B6036A">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20E"/>
    <w:rsid w:val="000303FA"/>
    <w:rsid w:val="000F616C"/>
    <w:rsid w:val="000F785C"/>
    <w:rsid w:val="00185EA1"/>
    <w:rsid w:val="001A4A74"/>
    <w:rsid w:val="0025632F"/>
    <w:rsid w:val="002A7CF1"/>
    <w:rsid w:val="002F10EE"/>
    <w:rsid w:val="0030578B"/>
    <w:rsid w:val="00314E0D"/>
    <w:rsid w:val="0038041A"/>
    <w:rsid w:val="003A07A4"/>
    <w:rsid w:val="00437562"/>
    <w:rsid w:val="004B4637"/>
    <w:rsid w:val="0050173D"/>
    <w:rsid w:val="00510BAD"/>
    <w:rsid w:val="005371F9"/>
    <w:rsid w:val="006211C5"/>
    <w:rsid w:val="00672A33"/>
    <w:rsid w:val="00684DCB"/>
    <w:rsid w:val="006A2054"/>
    <w:rsid w:val="006F43A8"/>
    <w:rsid w:val="007503D3"/>
    <w:rsid w:val="007C26BE"/>
    <w:rsid w:val="007C4B07"/>
    <w:rsid w:val="007E0EA2"/>
    <w:rsid w:val="007E4CBB"/>
    <w:rsid w:val="007E720D"/>
    <w:rsid w:val="008119EF"/>
    <w:rsid w:val="0083350D"/>
    <w:rsid w:val="00851E25"/>
    <w:rsid w:val="00854E1B"/>
    <w:rsid w:val="008574BB"/>
    <w:rsid w:val="00864CE1"/>
    <w:rsid w:val="00881FB1"/>
    <w:rsid w:val="008D3FB9"/>
    <w:rsid w:val="00930B37"/>
    <w:rsid w:val="00961E6C"/>
    <w:rsid w:val="00974D66"/>
    <w:rsid w:val="009E557F"/>
    <w:rsid w:val="00A347F2"/>
    <w:rsid w:val="00A85C6F"/>
    <w:rsid w:val="00AD6449"/>
    <w:rsid w:val="00B244E9"/>
    <w:rsid w:val="00B50251"/>
    <w:rsid w:val="00B6036A"/>
    <w:rsid w:val="00B96AFA"/>
    <w:rsid w:val="00BF1DA7"/>
    <w:rsid w:val="00C06E68"/>
    <w:rsid w:val="00C3067A"/>
    <w:rsid w:val="00D43CD9"/>
    <w:rsid w:val="00D445B5"/>
    <w:rsid w:val="00E0045D"/>
    <w:rsid w:val="00E1020E"/>
    <w:rsid w:val="00E34527"/>
    <w:rsid w:val="00E52EE3"/>
    <w:rsid w:val="00E64A95"/>
    <w:rsid w:val="00E70392"/>
    <w:rsid w:val="00EE3142"/>
    <w:rsid w:val="00F26DD9"/>
    <w:rsid w:val="00FE0DFB"/>
    <w:rsid w:val="00FE49E1"/>
    <w:rsid w:val="00FF2E8A"/>
    <w:rsid w:val="00FF55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C10AF"/>
  <w15:chartTrackingRefBased/>
  <w15:docId w15:val="{57A20DE4-9732-409A-803F-2DAD45B5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2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02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02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2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2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02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2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2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2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2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02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02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2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2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02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2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2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20E"/>
    <w:rPr>
      <w:rFonts w:eastAsiaTheme="majorEastAsia" w:cstheme="majorBidi"/>
      <w:color w:val="272727" w:themeColor="text1" w:themeTint="D8"/>
    </w:rPr>
  </w:style>
  <w:style w:type="paragraph" w:styleId="Title">
    <w:name w:val="Title"/>
    <w:basedOn w:val="Normal"/>
    <w:next w:val="Normal"/>
    <w:link w:val="TitleChar"/>
    <w:uiPriority w:val="10"/>
    <w:qFormat/>
    <w:rsid w:val="00E102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2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2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2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20E"/>
    <w:pPr>
      <w:spacing w:before="160"/>
      <w:jc w:val="center"/>
    </w:pPr>
    <w:rPr>
      <w:i/>
      <w:iCs/>
      <w:color w:val="404040" w:themeColor="text1" w:themeTint="BF"/>
    </w:rPr>
  </w:style>
  <w:style w:type="character" w:customStyle="1" w:styleId="QuoteChar">
    <w:name w:val="Quote Char"/>
    <w:basedOn w:val="DefaultParagraphFont"/>
    <w:link w:val="Quote"/>
    <w:uiPriority w:val="29"/>
    <w:rsid w:val="00E1020E"/>
    <w:rPr>
      <w:i/>
      <w:iCs/>
      <w:color w:val="404040" w:themeColor="text1" w:themeTint="BF"/>
    </w:rPr>
  </w:style>
  <w:style w:type="paragraph" w:styleId="ListParagraph">
    <w:name w:val="List Paragraph"/>
    <w:basedOn w:val="Normal"/>
    <w:uiPriority w:val="34"/>
    <w:qFormat/>
    <w:rsid w:val="00E1020E"/>
    <w:pPr>
      <w:ind w:left="720"/>
      <w:contextualSpacing/>
    </w:pPr>
  </w:style>
  <w:style w:type="character" w:styleId="IntenseEmphasis">
    <w:name w:val="Intense Emphasis"/>
    <w:basedOn w:val="DefaultParagraphFont"/>
    <w:uiPriority w:val="21"/>
    <w:qFormat/>
    <w:rsid w:val="00E1020E"/>
    <w:rPr>
      <w:i/>
      <w:iCs/>
      <w:color w:val="0F4761" w:themeColor="accent1" w:themeShade="BF"/>
    </w:rPr>
  </w:style>
  <w:style w:type="paragraph" w:styleId="IntenseQuote">
    <w:name w:val="Intense Quote"/>
    <w:basedOn w:val="Normal"/>
    <w:next w:val="Normal"/>
    <w:link w:val="IntenseQuoteChar"/>
    <w:uiPriority w:val="30"/>
    <w:qFormat/>
    <w:rsid w:val="00E102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20E"/>
    <w:rPr>
      <w:i/>
      <w:iCs/>
      <w:color w:val="0F4761" w:themeColor="accent1" w:themeShade="BF"/>
    </w:rPr>
  </w:style>
  <w:style w:type="character" w:styleId="IntenseReference">
    <w:name w:val="Intense Reference"/>
    <w:basedOn w:val="DefaultParagraphFont"/>
    <w:uiPriority w:val="32"/>
    <w:qFormat/>
    <w:rsid w:val="00E1020E"/>
    <w:rPr>
      <w:b/>
      <w:bCs/>
      <w:smallCaps/>
      <w:color w:val="0F4761" w:themeColor="accent1" w:themeShade="BF"/>
      <w:spacing w:val="5"/>
    </w:rPr>
  </w:style>
  <w:style w:type="table" w:styleId="TableGrid">
    <w:name w:val="Table Grid"/>
    <w:basedOn w:val="TableNormal"/>
    <w:uiPriority w:val="39"/>
    <w:rsid w:val="00E10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12024</Words>
  <Characters>6854</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2025-03-31T07:26:00Z</dcterms:created>
  <dcterms:modified xsi:type="dcterms:W3CDTF">2025-03-31T07:26:00Z</dcterms:modified>
</cp:coreProperties>
</file>